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2A60A0" w:rsidRDefault="002A60A0" w:rsidP="002A60A0">
      <w:pPr>
        <w:pStyle w:val="Heading1"/>
        <w:rPr>
          <w:rFonts w:ascii="Times New Roman" w:hAnsi="Times New Roman" w:cs="Times New Roman"/>
          <w:sz w:val="22"/>
          <w:szCs w:val="22"/>
        </w:rPr>
      </w:pPr>
      <w:r>
        <w:rPr>
          <w:rFonts w:ascii="Times New Roman" w:hAnsi="Times New Roman" w:cs="Times New Roman"/>
          <w:sz w:val="22"/>
          <w:szCs w:val="22"/>
        </w:rPr>
        <w:t>Comet™ Change Log for January 1</w:t>
      </w:r>
      <w:proofErr w:type="gramStart"/>
      <w:r>
        <w:rPr>
          <w:rFonts w:ascii="Times New Roman" w:hAnsi="Times New Roman" w:cs="Times New Roman"/>
          <w:sz w:val="22"/>
          <w:szCs w:val="22"/>
        </w:rPr>
        <w:t>,  201</w:t>
      </w:r>
      <w:r w:rsidR="004C3F37">
        <w:rPr>
          <w:rFonts w:ascii="Times New Roman" w:hAnsi="Times New Roman" w:cs="Times New Roman"/>
          <w:sz w:val="22"/>
          <w:szCs w:val="22"/>
        </w:rPr>
        <w:t>6</w:t>
      </w:r>
      <w:proofErr w:type="gramEnd"/>
      <w:r>
        <w:rPr>
          <w:rFonts w:ascii="Times New Roman" w:hAnsi="Times New Roman" w:cs="Times New Roman"/>
          <w:sz w:val="22"/>
          <w:szCs w:val="22"/>
        </w:rPr>
        <w:t xml:space="preserve"> to December 31, 201</w:t>
      </w:r>
      <w:r w:rsidR="00871215">
        <w:rPr>
          <w:rFonts w:ascii="Times New Roman" w:hAnsi="Times New Roman" w:cs="Times New Roman"/>
          <w:sz w:val="22"/>
          <w:szCs w:val="22"/>
        </w:rPr>
        <w:t>9</w:t>
      </w:r>
    </w:p>
    <w:p w:rsidR="007F1582" w:rsidRDefault="007D6D67" w:rsidP="00243999">
      <w:r>
        <w:t>2019-10-02 start date and end date override in rights detail popup</w:t>
      </w:r>
    </w:p>
    <w:p w:rsidR="007D6D67" w:rsidRDefault="007D6D67" w:rsidP="00243999"/>
    <w:p w:rsidR="0008285D" w:rsidRDefault="0008285D" w:rsidP="00243999">
      <w:r>
        <w:t>2019-09-24 added Contract Type, Currency Country, Contract Currency license fee total to report #157</w:t>
      </w:r>
    </w:p>
    <w:p w:rsidR="0008285D" w:rsidRDefault="0008285D" w:rsidP="00243999"/>
    <w:p w:rsidR="0008285D" w:rsidRDefault="0008285D" w:rsidP="00243999"/>
    <w:p w:rsidR="00340693" w:rsidRDefault="00340693" w:rsidP="00243999">
      <w:r>
        <w:t>2019-09-14</w:t>
      </w:r>
    </w:p>
    <w:p w:rsidR="00340693" w:rsidRDefault="00871215" w:rsidP="00340693">
      <w:pPr>
        <w:pStyle w:val="ListParagraph"/>
        <w:numPr>
          <w:ilvl w:val="0"/>
          <w:numId w:val="50"/>
        </w:numPr>
      </w:pPr>
      <w:r>
        <w:t xml:space="preserve">Add new feature in receipts to allow user to select unpaid default amount. </w:t>
      </w:r>
    </w:p>
    <w:p w:rsidR="00340693" w:rsidRDefault="00871215" w:rsidP="00340693">
      <w:pPr>
        <w:pStyle w:val="ListParagraph"/>
        <w:numPr>
          <w:ilvl w:val="0"/>
          <w:numId w:val="50"/>
        </w:numPr>
      </w:pPr>
      <w:r>
        <w:t>F</w:t>
      </w:r>
      <w:r w:rsidR="00340693">
        <w:t>ix comma error in receipts</w:t>
      </w:r>
      <w:r>
        <w:t xml:space="preserve"> for 0.000,00 number format</w:t>
      </w:r>
    </w:p>
    <w:p w:rsidR="00340693" w:rsidRDefault="00871215" w:rsidP="00340693">
      <w:pPr>
        <w:pStyle w:val="ListParagraph"/>
        <w:numPr>
          <w:ilvl w:val="0"/>
          <w:numId w:val="50"/>
        </w:numPr>
      </w:pPr>
      <w:r>
        <w:t>B</w:t>
      </w:r>
      <w:r w:rsidR="00340693">
        <w:t>lock void titles from being imported</w:t>
      </w:r>
      <w:r>
        <w:t xml:space="preserve"> on Royalty interface</w:t>
      </w:r>
    </w:p>
    <w:p w:rsidR="00340693" w:rsidRDefault="00340693" w:rsidP="00340693">
      <w:pPr>
        <w:pStyle w:val="ListParagraph"/>
        <w:numPr>
          <w:ilvl w:val="0"/>
          <w:numId w:val="50"/>
        </w:numPr>
      </w:pPr>
      <w:r>
        <w:t>Title group Excel import</w:t>
      </w:r>
      <w:r w:rsidR="00871215">
        <w:t xml:space="preserve"> feature</w:t>
      </w:r>
    </w:p>
    <w:p w:rsidR="00340693" w:rsidRDefault="00340693" w:rsidP="00243999"/>
    <w:p w:rsidR="00340693" w:rsidRDefault="00340693" w:rsidP="00243999"/>
    <w:p w:rsidR="006A00EC" w:rsidRDefault="006A00EC" w:rsidP="00243999">
      <w:r>
        <w:t>2019-08-19</w:t>
      </w:r>
    </w:p>
    <w:p w:rsidR="00341224" w:rsidRDefault="00341224" w:rsidP="00243999"/>
    <w:p w:rsidR="00341224" w:rsidRDefault="00341224" w:rsidP="00341224">
      <w:pPr>
        <w:pStyle w:val="ListParagraph"/>
        <w:numPr>
          <w:ilvl w:val="0"/>
          <w:numId w:val="49"/>
        </w:numPr>
        <w:contextualSpacing w:val="0"/>
        <w:rPr>
          <w:sz w:val="22"/>
          <w:szCs w:val="22"/>
        </w:rPr>
      </w:pPr>
      <w:r>
        <w:t xml:space="preserve">The Contract </w:t>
      </w:r>
      <w:proofErr w:type="spellStart"/>
      <w:r>
        <w:t>invocing</w:t>
      </w:r>
      <w:proofErr w:type="spellEnd"/>
      <w:r>
        <w:t xml:space="preserve"> and the </w:t>
      </w:r>
      <w:proofErr w:type="gramStart"/>
      <w:r>
        <w:t>All</w:t>
      </w:r>
      <w:proofErr w:type="gramEnd"/>
      <w:r>
        <w:t xml:space="preserve"> invoices by title screen show cents now. </w:t>
      </w:r>
    </w:p>
    <w:p w:rsidR="00341224" w:rsidRDefault="00341224" w:rsidP="00243999"/>
    <w:p w:rsidR="00341224" w:rsidRDefault="00341224" w:rsidP="00243999">
      <w:r>
        <w:rPr>
          <w:noProof/>
        </w:rPr>
        <w:drawing>
          <wp:inline distT="0" distB="0" distL="0" distR="0" wp14:anchorId="1D164EB7" wp14:editId="6E1342B1">
            <wp:extent cx="9144000" cy="27876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9144000" cy="2787650"/>
                    </a:xfrm>
                    <a:prstGeom prst="rect">
                      <a:avLst/>
                    </a:prstGeom>
                  </pic:spPr>
                </pic:pic>
              </a:graphicData>
            </a:graphic>
          </wp:inline>
        </w:drawing>
      </w:r>
    </w:p>
    <w:p w:rsidR="00341224" w:rsidRDefault="00341224" w:rsidP="00243999"/>
    <w:p w:rsidR="00341224" w:rsidRDefault="00341224" w:rsidP="00243999">
      <w:r>
        <w:rPr>
          <w:noProof/>
        </w:rPr>
        <w:drawing>
          <wp:inline distT="0" distB="0" distL="0" distR="0" wp14:anchorId="16E87B88" wp14:editId="633E3EDD">
            <wp:extent cx="9144000" cy="3098800"/>
            <wp:effectExtent l="0" t="0" r="0" b="6350"/>
            <wp:docPr id="28" name="Picture 2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9144000" cy="3098800"/>
                    </a:xfrm>
                    <a:prstGeom prst="rect">
                      <a:avLst/>
                    </a:prstGeom>
                  </pic:spPr>
                </pic:pic>
              </a:graphicData>
            </a:graphic>
          </wp:inline>
        </w:drawing>
      </w:r>
    </w:p>
    <w:p w:rsidR="00341224" w:rsidRDefault="00341224" w:rsidP="00243999"/>
    <w:p w:rsidR="006A00EC" w:rsidRDefault="006A00EC" w:rsidP="00243999"/>
    <w:p w:rsidR="006A00EC" w:rsidRDefault="006A00EC" w:rsidP="00243999">
      <w:r>
        <w:t>This table in User setup is now active:</w:t>
      </w:r>
    </w:p>
    <w:p w:rsidR="006A00EC" w:rsidRDefault="006A00EC" w:rsidP="00243999"/>
    <w:p w:rsidR="006A00EC" w:rsidRDefault="006A00EC" w:rsidP="00243999">
      <w:r>
        <w:rPr>
          <w:noProof/>
        </w:rPr>
        <w:drawing>
          <wp:inline distT="0" distB="0" distL="0" distR="0" wp14:anchorId="6EEFB243" wp14:editId="3AE6FDB2">
            <wp:extent cx="3219450" cy="609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9450" cy="609600"/>
                    </a:xfrm>
                    <a:prstGeom prst="rect">
                      <a:avLst/>
                    </a:prstGeom>
                  </pic:spPr>
                </pic:pic>
              </a:graphicData>
            </a:graphic>
          </wp:inline>
        </w:drawing>
      </w:r>
    </w:p>
    <w:p w:rsidR="006A00EC" w:rsidRDefault="006A00EC" w:rsidP="00243999"/>
    <w:p w:rsidR="006A00EC" w:rsidRDefault="006A00EC" w:rsidP="00243999"/>
    <w:p w:rsidR="002025EA" w:rsidRPr="00B67423" w:rsidRDefault="002025EA" w:rsidP="00243999">
      <w:pPr>
        <w:rPr>
          <w:b/>
          <w:u w:val="single"/>
        </w:rPr>
      </w:pPr>
      <w:r w:rsidRPr="00B67423">
        <w:rPr>
          <w:b/>
          <w:u w:val="single"/>
        </w:rPr>
        <w:t xml:space="preserve">New </w:t>
      </w:r>
      <w:proofErr w:type="spellStart"/>
      <w:r w:rsidRPr="00B67423">
        <w:rPr>
          <w:b/>
          <w:u w:val="single"/>
        </w:rPr>
        <w:t>mailmerge</w:t>
      </w:r>
      <w:proofErr w:type="spellEnd"/>
      <w:r w:rsidRPr="00B67423">
        <w:rPr>
          <w:b/>
          <w:u w:val="single"/>
        </w:rPr>
        <w:t xml:space="preserve"> fields</w:t>
      </w:r>
    </w:p>
    <w:p w:rsidR="002025EA" w:rsidRDefault="002025EA" w:rsidP="002025EA"/>
    <w:p w:rsidR="00790586" w:rsidRDefault="00790586" w:rsidP="002025EA">
      <w:r>
        <w:t>New Copy to New Title button, allows easy copy of series to a new season</w:t>
      </w:r>
    </w:p>
    <w:p w:rsidR="00790586" w:rsidRDefault="00790586" w:rsidP="002025EA">
      <w:r>
        <w:rPr>
          <w:noProof/>
        </w:rPr>
        <w:drawing>
          <wp:inline distT="0" distB="0" distL="0" distR="0" wp14:anchorId="56C91748" wp14:editId="38354A2C">
            <wp:extent cx="17145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500" cy="685800"/>
                    </a:xfrm>
                    <a:prstGeom prst="rect">
                      <a:avLst/>
                    </a:prstGeom>
                  </pic:spPr>
                </pic:pic>
              </a:graphicData>
            </a:graphic>
          </wp:inline>
        </w:drawing>
      </w:r>
    </w:p>
    <w:p w:rsidR="00790586" w:rsidRDefault="00790586" w:rsidP="002025EA"/>
    <w:p w:rsidR="00790586" w:rsidRDefault="00790586" w:rsidP="002025EA"/>
    <w:p w:rsidR="00790586" w:rsidRDefault="006A00EC" w:rsidP="002025EA">
      <w:r>
        <w:t xml:space="preserve">New </w:t>
      </w:r>
      <w:proofErr w:type="spellStart"/>
      <w:r w:rsidR="00790586">
        <w:t>Mailmerge</w:t>
      </w:r>
      <w:proofErr w:type="spellEnd"/>
      <w:r w:rsidR="00790586">
        <w:t xml:space="preserve"> Field</w:t>
      </w:r>
      <w:r>
        <w:t>:</w:t>
      </w:r>
      <w:r w:rsidR="00790586">
        <w:t xml:space="preserve"> &lt;&lt;LC&gt;&gt; = License currency</w:t>
      </w:r>
    </w:p>
    <w:p w:rsidR="00790586" w:rsidRDefault="006A00EC" w:rsidP="002025EA">
      <w:r>
        <w:t xml:space="preserve">New </w:t>
      </w:r>
      <w:proofErr w:type="spellStart"/>
      <w:r>
        <w:t>Mailmerge</w:t>
      </w:r>
      <w:proofErr w:type="spellEnd"/>
      <w:r>
        <w:t xml:space="preserve"> field</w:t>
      </w:r>
      <w:proofErr w:type="gramStart"/>
      <w:r>
        <w:t>:</w:t>
      </w:r>
      <w:r w:rsidR="00790586">
        <w:t>-</w:t>
      </w:r>
      <w:proofErr w:type="gramEnd"/>
      <w:r w:rsidR="00790586">
        <w:t xml:space="preserve"> &lt;&lt;MC&gt;&gt; = Materials currency</w:t>
      </w:r>
    </w:p>
    <w:p w:rsidR="00790586" w:rsidRDefault="00790586" w:rsidP="002025EA"/>
    <w:p w:rsidR="00790586" w:rsidRDefault="00790586" w:rsidP="002025EA">
      <w:r>
        <w:t>Program Details table:</w:t>
      </w:r>
    </w:p>
    <w:p w:rsidR="00041259" w:rsidRDefault="00041259" w:rsidP="002025EA">
      <w:r>
        <w:t xml:space="preserve">The materials fee is taken from the Title </w:t>
      </w:r>
      <w:proofErr w:type="spellStart"/>
      <w:r>
        <w:t>Misc</w:t>
      </w:r>
      <w:proofErr w:type="spellEnd"/>
      <w:r>
        <w:t xml:space="preserve"> Delivery tab under Hourly Recharge Price, using the materials currency set in the Misc. Misc. tab. </w:t>
      </w:r>
    </w:p>
    <w:p w:rsidR="00790586" w:rsidRDefault="00790586" w:rsidP="002025EA"/>
    <w:p w:rsidR="00790586" w:rsidRDefault="00790586" w:rsidP="002025EA">
      <w:r>
        <w:tab/>
      </w:r>
      <w:r>
        <w:tab/>
      </w:r>
      <w:r>
        <w:tab/>
      </w:r>
    </w:p>
    <w:tbl>
      <w:tblPr>
        <w:tblW w:w="9746" w:type="dxa"/>
        <w:jc w:val="center"/>
        <w:tblCellMar>
          <w:left w:w="70" w:type="dxa"/>
          <w:right w:w="70" w:type="dxa"/>
        </w:tblCellMar>
        <w:tblLook w:val="04A0" w:firstRow="1" w:lastRow="0" w:firstColumn="1" w:lastColumn="0" w:noHBand="0" w:noVBand="1"/>
      </w:tblPr>
      <w:tblGrid>
        <w:gridCol w:w="2940"/>
        <w:gridCol w:w="1060"/>
        <w:gridCol w:w="1060"/>
        <w:gridCol w:w="682"/>
        <w:gridCol w:w="971"/>
        <w:gridCol w:w="971"/>
        <w:gridCol w:w="1025"/>
        <w:gridCol w:w="1037"/>
      </w:tblGrid>
      <w:tr w:rsidR="00790586" w:rsidTr="00D16CD0">
        <w:trPr>
          <w:trHeight w:val="1500"/>
          <w:jc w:val="center"/>
        </w:trPr>
        <w:tc>
          <w:tcPr>
            <w:tcW w:w="2940" w:type="dxa"/>
            <w:tcBorders>
              <w:top w:val="single" w:sz="8" w:space="0" w:color="auto"/>
              <w:left w:val="single" w:sz="8" w:space="0" w:color="auto"/>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lang w:val="fr-FR"/>
              </w:rPr>
            </w:pPr>
            <w:r>
              <w:rPr>
                <w:rFonts w:ascii="Calibri" w:hAnsi="Calibri"/>
                <w:b/>
                <w:bCs/>
                <w:sz w:val="22"/>
                <w:szCs w:val="22"/>
                <w:lang w:val="fr-FR"/>
              </w:rPr>
              <w:t>TITLE</w:t>
            </w:r>
          </w:p>
        </w:tc>
        <w:tc>
          <w:tcPr>
            <w:tcW w:w="1060"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lang w:val="fr-FR"/>
              </w:rPr>
            </w:pPr>
            <w:r>
              <w:rPr>
                <w:rFonts w:ascii="Calibri" w:hAnsi="Calibri"/>
                <w:b/>
                <w:bCs/>
                <w:sz w:val="22"/>
                <w:szCs w:val="22"/>
                <w:lang w:val="fr-FR"/>
              </w:rPr>
              <w:t>FORMAT</w:t>
            </w:r>
          </w:p>
        </w:tc>
        <w:tc>
          <w:tcPr>
            <w:tcW w:w="1060"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lang w:val="fr-FR"/>
              </w:rPr>
            </w:pPr>
            <w:r>
              <w:rPr>
                <w:rFonts w:ascii="Calibri" w:hAnsi="Calibri"/>
                <w:b/>
                <w:bCs/>
                <w:sz w:val="22"/>
                <w:szCs w:val="22"/>
                <w:lang w:val="fr-FR"/>
              </w:rPr>
              <w:t>YOP</w:t>
            </w:r>
          </w:p>
        </w:tc>
        <w:tc>
          <w:tcPr>
            <w:tcW w:w="682"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lang w:val="fr-FR"/>
              </w:rPr>
            </w:pPr>
            <w:r>
              <w:rPr>
                <w:rFonts w:ascii="Calibri" w:hAnsi="Calibri"/>
                <w:b/>
                <w:bCs/>
                <w:sz w:val="22"/>
                <w:szCs w:val="22"/>
                <w:lang w:val="fr-FR"/>
              </w:rPr>
              <w:t xml:space="preserve">Nº of </w:t>
            </w:r>
            <w:proofErr w:type="spellStart"/>
            <w:r>
              <w:rPr>
                <w:rFonts w:ascii="Calibri" w:hAnsi="Calibri"/>
                <w:b/>
                <w:bCs/>
                <w:sz w:val="22"/>
                <w:szCs w:val="22"/>
                <w:lang w:val="fr-FR"/>
              </w:rPr>
              <w:t>Hours</w:t>
            </w:r>
            <w:proofErr w:type="spellEnd"/>
          </w:p>
        </w:tc>
        <w:tc>
          <w:tcPr>
            <w:tcW w:w="971"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rPr>
            </w:pPr>
            <w:r>
              <w:rPr>
                <w:rFonts w:ascii="Calibri" w:hAnsi="Calibri"/>
                <w:b/>
                <w:bCs/>
                <w:sz w:val="22"/>
                <w:szCs w:val="22"/>
              </w:rPr>
              <w:t xml:space="preserve">License Fee per Comm. </w:t>
            </w:r>
            <w:proofErr w:type="spellStart"/>
            <w:r>
              <w:rPr>
                <w:rFonts w:ascii="Calibri" w:hAnsi="Calibri"/>
                <w:b/>
                <w:bCs/>
                <w:sz w:val="22"/>
                <w:szCs w:val="22"/>
              </w:rPr>
              <w:t>Hr</w:t>
            </w:r>
            <w:proofErr w:type="spellEnd"/>
            <w:r>
              <w:rPr>
                <w:rFonts w:ascii="Calibri" w:hAnsi="Calibri"/>
                <w:b/>
                <w:bCs/>
                <w:sz w:val="22"/>
                <w:szCs w:val="22"/>
              </w:rPr>
              <w:br/>
              <w:t>(</w:t>
            </w:r>
            <w:r w:rsidRPr="000F474C">
              <w:rPr>
                <w:rFonts w:ascii="Calibri" w:hAnsi="Calibri"/>
                <w:b/>
                <w:bCs/>
                <w:sz w:val="22"/>
                <w:szCs w:val="22"/>
                <w:highlight w:val="green"/>
              </w:rPr>
              <w:t>&lt;&lt;</w:t>
            </w:r>
            <w:r>
              <w:rPr>
                <w:rFonts w:ascii="Calibri" w:hAnsi="Calibri"/>
                <w:b/>
                <w:bCs/>
                <w:sz w:val="22"/>
                <w:szCs w:val="22"/>
                <w:highlight w:val="green"/>
              </w:rPr>
              <w:t>LC</w:t>
            </w:r>
            <w:r w:rsidRPr="000F474C">
              <w:rPr>
                <w:rFonts w:ascii="Calibri" w:hAnsi="Calibri"/>
                <w:b/>
                <w:bCs/>
                <w:sz w:val="22"/>
                <w:szCs w:val="22"/>
                <w:highlight w:val="green"/>
              </w:rPr>
              <w:t>&gt;&gt;</w:t>
            </w:r>
            <w:r>
              <w:rPr>
                <w:rFonts w:ascii="Calibri" w:hAnsi="Calibri"/>
                <w:b/>
                <w:bCs/>
                <w:sz w:val="22"/>
                <w:szCs w:val="22"/>
              </w:rPr>
              <w:t>)</w:t>
            </w:r>
          </w:p>
        </w:tc>
        <w:tc>
          <w:tcPr>
            <w:tcW w:w="971"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rPr>
            </w:pPr>
            <w:r>
              <w:rPr>
                <w:rFonts w:ascii="Calibri" w:hAnsi="Calibri"/>
                <w:b/>
                <w:bCs/>
                <w:sz w:val="22"/>
                <w:szCs w:val="22"/>
              </w:rPr>
              <w:t>Total License Fee</w:t>
            </w:r>
            <w:r>
              <w:rPr>
                <w:rFonts w:ascii="Calibri" w:hAnsi="Calibri"/>
                <w:b/>
                <w:bCs/>
                <w:sz w:val="22"/>
                <w:szCs w:val="22"/>
              </w:rPr>
              <w:br/>
            </w:r>
            <w:r>
              <w:rPr>
                <w:rFonts w:ascii="Calibri" w:hAnsi="Calibri"/>
                <w:b/>
                <w:bCs/>
                <w:sz w:val="22"/>
                <w:szCs w:val="22"/>
              </w:rPr>
              <w:br/>
              <w:t>(</w:t>
            </w:r>
            <w:r w:rsidRPr="000F474C">
              <w:rPr>
                <w:rFonts w:ascii="Calibri" w:hAnsi="Calibri"/>
                <w:b/>
                <w:bCs/>
                <w:sz w:val="22"/>
                <w:szCs w:val="22"/>
                <w:highlight w:val="green"/>
              </w:rPr>
              <w:t>&lt;&lt;</w:t>
            </w:r>
            <w:r>
              <w:rPr>
                <w:rFonts w:ascii="Calibri" w:hAnsi="Calibri"/>
                <w:b/>
                <w:bCs/>
                <w:sz w:val="22"/>
                <w:szCs w:val="22"/>
                <w:highlight w:val="green"/>
              </w:rPr>
              <w:t>LC</w:t>
            </w:r>
            <w:r w:rsidRPr="000F474C">
              <w:rPr>
                <w:rFonts w:ascii="Calibri" w:hAnsi="Calibri"/>
                <w:b/>
                <w:bCs/>
                <w:sz w:val="22"/>
                <w:szCs w:val="22"/>
                <w:highlight w:val="green"/>
              </w:rPr>
              <w:t>&gt;&gt;</w:t>
            </w:r>
            <w:r>
              <w:rPr>
                <w:rFonts w:ascii="Calibri" w:hAnsi="Calibri"/>
                <w:b/>
                <w:bCs/>
                <w:sz w:val="22"/>
                <w:szCs w:val="22"/>
              </w:rPr>
              <w:t>)</w:t>
            </w:r>
          </w:p>
        </w:tc>
        <w:tc>
          <w:tcPr>
            <w:tcW w:w="1025"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lang w:val="fr-FR"/>
              </w:rPr>
            </w:pPr>
            <w:proofErr w:type="spellStart"/>
            <w:r>
              <w:rPr>
                <w:rFonts w:ascii="Calibri" w:hAnsi="Calibri"/>
                <w:b/>
                <w:bCs/>
                <w:sz w:val="22"/>
                <w:szCs w:val="22"/>
                <w:lang w:val="fr-FR"/>
              </w:rPr>
              <w:t>Material</w:t>
            </w:r>
            <w:proofErr w:type="spellEnd"/>
            <w:r>
              <w:rPr>
                <w:rFonts w:ascii="Calibri" w:hAnsi="Calibri"/>
                <w:b/>
                <w:bCs/>
                <w:sz w:val="22"/>
                <w:szCs w:val="22"/>
                <w:lang w:val="fr-FR"/>
              </w:rPr>
              <w:t xml:space="preserve"> </w:t>
            </w:r>
            <w:proofErr w:type="spellStart"/>
            <w:r>
              <w:rPr>
                <w:rFonts w:ascii="Calibri" w:hAnsi="Calibri"/>
                <w:b/>
                <w:bCs/>
                <w:sz w:val="22"/>
                <w:szCs w:val="22"/>
                <w:lang w:val="fr-FR"/>
              </w:rPr>
              <w:t>Fee</w:t>
            </w:r>
            <w:proofErr w:type="spellEnd"/>
            <w:r>
              <w:rPr>
                <w:rFonts w:ascii="Calibri" w:hAnsi="Calibri"/>
                <w:b/>
                <w:bCs/>
                <w:sz w:val="22"/>
                <w:szCs w:val="22"/>
                <w:lang w:val="fr-FR"/>
              </w:rPr>
              <w:t xml:space="preserve"> per </w:t>
            </w:r>
            <w:proofErr w:type="spellStart"/>
            <w:proofErr w:type="gramStart"/>
            <w:r>
              <w:rPr>
                <w:rFonts w:ascii="Calibri" w:hAnsi="Calibri"/>
                <w:b/>
                <w:bCs/>
                <w:sz w:val="22"/>
                <w:szCs w:val="22"/>
                <w:lang w:val="fr-FR"/>
              </w:rPr>
              <w:t>Hour</w:t>
            </w:r>
            <w:proofErr w:type="spellEnd"/>
            <w:proofErr w:type="gramEnd"/>
            <w:r>
              <w:rPr>
                <w:rFonts w:ascii="Calibri" w:hAnsi="Calibri"/>
                <w:b/>
                <w:bCs/>
                <w:sz w:val="22"/>
                <w:szCs w:val="22"/>
                <w:lang w:val="fr-FR"/>
              </w:rPr>
              <w:br/>
            </w:r>
            <w:r>
              <w:rPr>
                <w:rFonts w:ascii="Calibri" w:hAnsi="Calibri"/>
                <w:b/>
                <w:bCs/>
                <w:sz w:val="22"/>
                <w:szCs w:val="22"/>
                <w:lang w:val="fr-FR"/>
              </w:rPr>
              <w:br/>
            </w:r>
            <w:r>
              <w:rPr>
                <w:rFonts w:ascii="Calibri" w:hAnsi="Calibri"/>
                <w:b/>
                <w:bCs/>
                <w:sz w:val="22"/>
                <w:szCs w:val="22"/>
                <w:lang w:val="fr-FR"/>
              </w:rPr>
              <w:br/>
              <w:t>(</w:t>
            </w:r>
            <w:r w:rsidRPr="000F474C">
              <w:rPr>
                <w:rFonts w:ascii="Calibri" w:hAnsi="Calibri"/>
                <w:b/>
                <w:bCs/>
                <w:sz w:val="22"/>
                <w:szCs w:val="22"/>
                <w:highlight w:val="green"/>
              </w:rPr>
              <w:t>&lt;&lt;</w:t>
            </w:r>
            <w:r>
              <w:rPr>
                <w:rFonts w:ascii="Calibri" w:hAnsi="Calibri"/>
                <w:b/>
                <w:bCs/>
                <w:sz w:val="22"/>
                <w:szCs w:val="22"/>
                <w:highlight w:val="green"/>
              </w:rPr>
              <w:t>MC</w:t>
            </w:r>
            <w:r w:rsidRPr="000F474C">
              <w:rPr>
                <w:rFonts w:ascii="Calibri" w:hAnsi="Calibri"/>
                <w:b/>
                <w:bCs/>
                <w:sz w:val="22"/>
                <w:szCs w:val="22"/>
                <w:highlight w:val="green"/>
              </w:rPr>
              <w:t>&gt;&gt;</w:t>
            </w:r>
            <w:r>
              <w:rPr>
                <w:rFonts w:ascii="Calibri" w:hAnsi="Calibri"/>
                <w:b/>
                <w:bCs/>
                <w:sz w:val="22"/>
                <w:szCs w:val="22"/>
                <w:lang w:val="fr-FR"/>
              </w:rPr>
              <w:t>)</w:t>
            </w:r>
          </w:p>
        </w:tc>
        <w:tc>
          <w:tcPr>
            <w:tcW w:w="1037" w:type="dxa"/>
            <w:tcBorders>
              <w:top w:val="single" w:sz="8" w:space="0" w:color="auto"/>
              <w:left w:val="nil"/>
              <w:bottom w:val="single" w:sz="4" w:space="0" w:color="auto"/>
              <w:right w:val="single" w:sz="4" w:space="0" w:color="auto"/>
            </w:tcBorders>
            <w:vAlign w:val="center"/>
            <w:hideMark/>
          </w:tcPr>
          <w:p w:rsidR="00790586" w:rsidRDefault="00790586" w:rsidP="00D16CD0">
            <w:pPr>
              <w:jc w:val="center"/>
              <w:rPr>
                <w:rFonts w:ascii="Calibri" w:hAnsi="Calibri"/>
                <w:b/>
                <w:bCs/>
                <w:sz w:val="22"/>
                <w:szCs w:val="22"/>
              </w:rPr>
            </w:pPr>
            <w:r>
              <w:rPr>
                <w:rFonts w:ascii="Calibri" w:hAnsi="Calibri"/>
                <w:b/>
                <w:bCs/>
                <w:sz w:val="22"/>
                <w:szCs w:val="22"/>
              </w:rPr>
              <w:t>Total Material Fee</w:t>
            </w:r>
            <w:r>
              <w:rPr>
                <w:rFonts w:ascii="Calibri" w:hAnsi="Calibri"/>
                <w:b/>
                <w:bCs/>
                <w:sz w:val="22"/>
                <w:szCs w:val="22"/>
              </w:rPr>
              <w:br/>
            </w:r>
            <w:r>
              <w:rPr>
                <w:rFonts w:ascii="Calibri" w:hAnsi="Calibri"/>
                <w:b/>
                <w:bCs/>
                <w:sz w:val="22"/>
                <w:szCs w:val="22"/>
              </w:rPr>
              <w:br/>
              <w:t>(</w:t>
            </w:r>
            <w:r w:rsidRPr="000F474C">
              <w:rPr>
                <w:rFonts w:ascii="Calibri" w:hAnsi="Calibri"/>
                <w:b/>
                <w:bCs/>
                <w:sz w:val="22"/>
                <w:szCs w:val="22"/>
                <w:highlight w:val="green"/>
              </w:rPr>
              <w:t>&lt;&lt;</w:t>
            </w:r>
            <w:r>
              <w:rPr>
                <w:rFonts w:ascii="Calibri" w:hAnsi="Calibri"/>
                <w:b/>
                <w:bCs/>
                <w:sz w:val="22"/>
                <w:szCs w:val="22"/>
                <w:highlight w:val="green"/>
              </w:rPr>
              <w:t>MC</w:t>
            </w:r>
            <w:r w:rsidRPr="000F474C">
              <w:rPr>
                <w:rFonts w:ascii="Calibri" w:hAnsi="Calibri"/>
                <w:b/>
                <w:bCs/>
                <w:sz w:val="22"/>
                <w:szCs w:val="22"/>
                <w:highlight w:val="green"/>
              </w:rPr>
              <w:t>&gt;&gt;</w:t>
            </w:r>
            <w:r>
              <w:rPr>
                <w:rFonts w:ascii="Calibri" w:hAnsi="Calibri"/>
                <w:b/>
                <w:bCs/>
                <w:sz w:val="22"/>
                <w:szCs w:val="22"/>
              </w:rPr>
              <w:t>)</w:t>
            </w:r>
          </w:p>
        </w:tc>
      </w:tr>
      <w:tr w:rsidR="00790586" w:rsidTr="00D16CD0">
        <w:trPr>
          <w:trHeight w:val="300"/>
          <w:jc w:val="center"/>
        </w:trPr>
        <w:tc>
          <w:tcPr>
            <w:tcW w:w="2940" w:type="dxa"/>
            <w:tcBorders>
              <w:top w:val="nil"/>
              <w:left w:val="single" w:sz="8" w:space="0" w:color="auto"/>
              <w:bottom w:val="single" w:sz="4" w:space="0" w:color="auto"/>
              <w:right w:val="single" w:sz="4" w:space="0" w:color="auto"/>
            </w:tcBorders>
            <w:vAlign w:val="center"/>
            <w:hideMark/>
          </w:tcPr>
          <w:p w:rsidR="00790586" w:rsidRDefault="00790586" w:rsidP="00D16CD0">
            <w:pPr>
              <w:rPr>
                <w:rFonts w:ascii="Calibri" w:hAnsi="Calibri"/>
                <w:lang w:val="fr-FR"/>
              </w:rPr>
            </w:pPr>
            <w:r w:rsidRPr="000F474C">
              <w:rPr>
                <w:rFonts w:ascii="Calibri" w:hAnsi="Calibri"/>
                <w:highlight w:val="green"/>
                <w:lang w:val="fr-FR"/>
              </w:rPr>
              <w:t xml:space="preserve">&lt;&lt;Program </w:t>
            </w:r>
            <w:r w:rsidRPr="00051A43">
              <w:rPr>
                <w:rFonts w:ascii="Calibri" w:hAnsi="Calibri"/>
                <w:highlight w:val="green"/>
              </w:rPr>
              <w:t>Detail</w:t>
            </w:r>
            <w:r w:rsidRPr="000F474C">
              <w:rPr>
                <w:rFonts w:ascii="Calibri" w:hAnsi="Calibri"/>
                <w:highlight w:val="green"/>
                <w:lang w:val="fr-FR"/>
              </w:rPr>
              <w:t xml:space="preserve"> Table&gt;&gt;</w:t>
            </w:r>
          </w:p>
        </w:tc>
        <w:tc>
          <w:tcPr>
            <w:tcW w:w="1060"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lang w:val="fr-FR"/>
              </w:rPr>
            </w:pPr>
          </w:p>
        </w:tc>
        <w:tc>
          <w:tcPr>
            <w:tcW w:w="1060"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lang w:val="fr-FR"/>
              </w:rPr>
            </w:pPr>
          </w:p>
        </w:tc>
        <w:tc>
          <w:tcPr>
            <w:tcW w:w="682"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lang w:val="fr-FR"/>
              </w:rPr>
            </w:pPr>
          </w:p>
        </w:tc>
        <w:tc>
          <w:tcPr>
            <w:tcW w:w="971"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lang w:val="fr-FR"/>
              </w:rPr>
            </w:pPr>
          </w:p>
        </w:tc>
        <w:tc>
          <w:tcPr>
            <w:tcW w:w="971"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b/>
                <w:bCs/>
                <w:lang w:val="fr-FR"/>
              </w:rPr>
            </w:pPr>
          </w:p>
        </w:tc>
        <w:tc>
          <w:tcPr>
            <w:tcW w:w="1025"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lang w:val="fr-FR"/>
              </w:rPr>
            </w:pPr>
          </w:p>
        </w:tc>
        <w:tc>
          <w:tcPr>
            <w:tcW w:w="1037" w:type="dxa"/>
            <w:tcBorders>
              <w:top w:val="nil"/>
              <w:left w:val="nil"/>
              <w:bottom w:val="single" w:sz="4" w:space="0" w:color="auto"/>
              <w:right w:val="single" w:sz="4" w:space="0" w:color="auto"/>
            </w:tcBorders>
            <w:vAlign w:val="center"/>
          </w:tcPr>
          <w:p w:rsidR="00790586" w:rsidRDefault="00790586" w:rsidP="00D16CD0">
            <w:pPr>
              <w:jc w:val="center"/>
              <w:rPr>
                <w:rFonts w:ascii="Calibri" w:hAnsi="Calibri"/>
                <w:b/>
                <w:bCs/>
                <w:lang w:val="fr-FR"/>
              </w:rPr>
            </w:pPr>
          </w:p>
        </w:tc>
      </w:tr>
    </w:tbl>
    <w:p w:rsidR="00790586" w:rsidRDefault="00790586" w:rsidP="002025EA"/>
    <w:p w:rsidR="00041259" w:rsidRDefault="00041259" w:rsidP="002025EA"/>
    <w:p w:rsidR="00041259" w:rsidRDefault="00041259" w:rsidP="002025EA">
      <w:r>
        <w:rPr>
          <w:noProof/>
        </w:rPr>
        <w:drawing>
          <wp:inline distT="0" distB="0" distL="0" distR="0" wp14:anchorId="728AE0E3" wp14:editId="5FD56946">
            <wp:extent cx="8315325" cy="399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15325" cy="3990975"/>
                    </a:xfrm>
                    <a:prstGeom prst="rect">
                      <a:avLst/>
                    </a:prstGeom>
                  </pic:spPr>
                </pic:pic>
              </a:graphicData>
            </a:graphic>
          </wp:inline>
        </w:drawing>
      </w:r>
    </w:p>
    <w:p w:rsidR="00790586" w:rsidRDefault="00041259" w:rsidP="002025EA">
      <w:r>
        <w:rPr>
          <w:noProof/>
        </w:rPr>
        <w:drawing>
          <wp:inline distT="0" distB="0" distL="0" distR="0">
            <wp:extent cx="9144000" cy="25279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0" cy="2527935"/>
                    </a:xfrm>
                    <a:prstGeom prst="rect">
                      <a:avLst/>
                    </a:prstGeom>
                    <a:noFill/>
                    <a:ln>
                      <a:noFill/>
                    </a:ln>
                  </pic:spPr>
                </pic:pic>
              </a:graphicData>
            </a:graphic>
          </wp:inline>
        </w:drawing>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1032"/>
        <w:gridCol w:w="942"/>
        <w:gridCol w:w="682"/>
        <w:gridCol w:w="1234"/>
        <w:gridCol w:w="1423"/>
        <w:gridCol w:w="929"/>
        <w:gridCol w:w="1020"/>
      </w:tblGrid>
      <w:tr w:rsidR="00790586" w:rsidRPr="00790586" w:rsidTr="00D16CD0">
        <w:trPr>
          <w:trHeight w:val="1500"/>
          <w:jc w:val="center"/>
        </w:trPr>
        <w:tc>
          <w:tcPr>
            <w:tcW w:w="2719" w:type="dxa"/>
            <w:vAlign w:val="center"/>
            <w:hideMark/>
          </w:tcPr>
          <w:p w:rsidR="00790586" w:rsidRPr="00790586" w:rsidRDefault="00790586" w:rsidP="00D16CD0">
            <w:pPr>
              <w:jc w:val="center"/>
              <w:rPr>
                <w:rFonts w:ascii="Calibri" w:hAnsi="Calibri"/>
                <w:b/>
                <w:bCs/>
                <w:sz w:val="22"/>
                <w:szCs w:val="22"/>
                <w:lang w:val="fr-FR"/>
              </w:rPr>
            </w:pPr>
            <w:bookmarkStart w:id="0" w:name="RANGE!A1:I29"/>
            <w:r w:rsidRPr="00790586">
              <w:rPr>
                <w:rFonts w:ascii="Calibri" w:hAnsi="Calibri"/>
                <w:b/>
                <w:bCs/>
                <w:sz w:val="22"/>
                <w:szCs w:val="22"/>
                <w:lang w:val="fr-FR"/>
              </w:rPr>
              <w:t>TITLE</w:t>
            </w:r>
            <w:bookmarkEnd w:id="0"/>
          </w:p>
        </w:tc>
        <w:tc>
          <w:tcPr>
            <w:tcW w:w="1047" w:type="dxa"/>
            <w:vAlign w:val="center"/>
            <w:hideMark/>
          </w:tcPr>
          <w:p w:rsidR="00790586" w:rsidRPr="00790586" w:rsidRDefault="00790586" w:rsidP="00D16CD0">
            <w:pPr>
              <w:jc w:val="center"/>
              <w:rPr>
                <w:rFonts w:ascii="Calibri" w:hAnsi="Calibri"/>
                <w:b/>
                <w:bCs/>
                <w:sz w:val="22"/>
                <w:szCs w:val="22"/>
                <w:lang w:val="fr-FR"/>
              </w:rPr>
            </w:pPr>
            <w:r w:rsidRPr="00790586">
              <w:rPr>
                <w:rFonts w:ascii="Calibri" w:hAnsi="Calibri"/>
                <w:b/>
                <w:bCs/>
                <w:sz w:val="22"/>
                <w:szCs w:val="22"/>
                <w:lang w:val="fr-FR"/>
              </w:rPr>
              <w:t>FORMAT</w:t>
            </w:r>
          </w:p>
        </w:tc>
        <w:tc>
          <w:tcPr>
            <w:tcW w:w="1000" w:type="dxa"/>
            <w:vAlign w:val="center"/>
            <w:hideMark/>
          </w:tcPr>
          <w:p w:rsidR="00790586" w:rsidRPr="00790586" w:rsidRDefault="00790586" w:rsidP="00D16CD0">
            <w:pPr>
              <w:jc w:val="center"/>
              <w:rPr>
                <w:rFonts w:ascii="Calibri" w:hAnsi="Calibri"/>
                <w:b/>
                <w:bCs/>
                <w:sz w:val="22"/>
                <w:szCs w:val="22"/>
                <w:lang w:val="fr-FR"/>
              </w:rPr>
            </w:pPr>
            <w:r w:rsidRPr="00790586">
              <w:rPr>
                <w:rFonts w:ascii="Calibri" w:hAnsi="Calibri"/>
                <w:b/>
                <w:bCs/>
                <w:sz w:val="22"/>
                <w:szCs w:val="22"/>
                <w:lang w:val="fr-FR"/>
              </w:rPr>
              <w:t>YOP</w:t>
            </w:r>
          </w:p>
        </w:tc>
        <w:tc>
          <w:tcPr>
            <w:tcW w:w="682" w:type="dxa"/>
            <w:vAlign w:val="center"/>
            <w:hideMark/>
          </w:tcPr>
          <w:p w:rsidR="00790586" w:rsidRPr="00790586" w:rsidRDefault="00790586" w:rsidP="00D16CD0">
            <w:pPr>
              <w:jc w:val="center"/>
              <w:rPr>
                <w:rFonts w:ascii="Calibri" w:hAnsi="Calibri"/>
                <w:b/>
                <w:bCs/>
                <w:sz w:val="22"/>
                <w:szCs w:val="22"/>
                <w:lang w:val="fr-FR"/>
              </w:rPr>
            </w:pPr>
            <w:r w:rsidRPr="00790586">
              <w:rPr>
                <w:rFonts w:ascii="Calibri" w:hAnsi="Calibri"/>
                <w:b/>
                <w:bCs/>
                <w:sz w:val="22"/>
                <w:szCs w:val="22"/>
                <w:lang w:val="fr-FR"/>
              </w:rPr>
              <w:t xml:space="preserve">Nº of </w:t>
            </w:r>
            <w:proofErr w:type="spellStart"/>
            <w:r w:rsidRPr="00790586">
              <w:rPr>
                <w:rFonts w:ascii="Calibri" w:hAnsi="Calibri"/>
                <w:b/>
                <w:bCs/>
                <w:sz w:val="22"/>
                <w:szCs w:val="22"/>
                <w:lang w:val="fr-FR"/>
              </w:rPr>
              <w:t>Hours</w:t>
            </w:r>
            <w:proofErr w:type="spellEnd"/>
          </w:p>
        </w:tc>
        <w:tc>
          <w:tcPr>
            <w:tcW w:w="1052" w:type="dxa"/>
            <w:vAlign w:val="center"/>
            <w:hideMark/>
          </w:tcPr>
          <w:p w:rsidR="00790586" w:rsidRPr="00790586" w:rsidRDefault="00790586" w:rsidP="00D16CD0">
            <w:pPr>
              <w:jc w:val="center"/>
              <w:rPr>
                <w:rFonts w:ascii="Calibri" w:hAnsi="Calibri"/>
                <w:b/>
                <w:bCs/>
                <w:sz w:val="22"/>
                <w:szCs w:val="22"/>
              </w:rPr>
            </w:pPr>
            <w:r w:rsidRPr="00790586">
              <w:rPr>
                <w:rFonts w:ascii="Calibri" w:hAnsi="Calibri"/>
                <w:b/>
                <w:bCs/>
                <w:sz w:val="22"/>
                <w:szCs w:val="22"/>
              </w:rPr>
              <w:t xml:space="preserve">License Fee per Comm. </w:t>
            </w:r>
            <w:proofErr w:type="spellStart"/>
            <w:r w:rsidRPr="00790586">
              <w:rPr>
                <w:rFonts w:ascii="Calibri" w:hAnsi="Calibri"/>
                <w:b/>
                <w:bCs/>
                <w:sz w:val="22"/>
                <w:szCs w:val="22"/>
              </w:rPr>
              <w:t>Hr</w:t>
            </w:r>
            <w:proofErr w:type="spellEnd"/>
            <w:r w:rsidRPr="00790586">
              <w:rPr>
                <w:rFonts w:ascii="Calibri" w:hAnsi="Calibri"/>
                <w:b/>
                <w:bCs/>
                <w:sz w:val="22"/>
                <w:szCs w:val="22"/>
              </w:rPr>
              <w:br/>
              <w:t>(Krona)</w:t>
            </w:r>
          </w:p>
        </w:tc>
        <w:tc>
          <w:tcPr>
            <w:tcW w:w="1292" w:type="dxa"/>
            <w:vAlign w:val="center"/>
            <w:hideMark/>
          </w:tcPr>
          <w:p w:rsidR="00790586" w:rsidRPr="00790586" w:rsidRDefault="00790586" w:rsidP="00D16CD0">
            <w:pPr>
              <w:jc w:val="center"/>
              <w:rPr>
                <w:rFonts w:ascii="Calibri" w:hAnsi="Calibri"/>
                <w:b/>
                <w:bCs/>
                <w:sz w:val="22"/>
                <w:szCs w:val="22"/>
              </w:rPr>
            </w:pPr>
            <w:r w:rsidRPr="00790586">
              <w:rPr>
                <w:rFonts w:ascii="Calibri" w:hAnsi="Calibri"/>
                <w:b/>
                <w:bCs/>
                <w:sz w:val="22"/>
                <w:szCs w:val="22"/>
              </w:rPr>
              <w:t>Total License Fee</w:t>
            </w:r>
            <w:r w:rsidRPr="00790586">
              <w:rPr>
                <w:rFonts w:ascii="Calibri" w:hAnsi="Calibri"/>
                <w:b/>
                <w:bCs/>
                <w:sz w:val="22"/>
                <w:szCs w:val="22"/>
              </w:rPr>
              <w:br/>
            </w:r>
            <w:r w:rsidRPr="00790586">
              <w:rPr>
                <w:rFonts w:ascii="Calibri" w:hAnsi="Calibri"/>
                <w:b/>
                <w:bCs/>
                <w:sz w:val="22"/>
                <w:szCs w:val="22"/>
              </w:rPr>
              <w:br/>
              <w:t>(Krona)</w:t>
            </w:r>
          </w:p>
        </w:tc>
        <w:tc>
          <w:tcPr>
            <w:tcW w:w="930" w:type="dxa"/>
            <w:vAlign w:val="center"/>
            <w:hideMark/>
          </w:tcPr>
          <w:p w:rsidR="00790586" w:rsidRPr="00790586" w:rsidRDefault="00790586" w:rsidP="00790586">
            <w:pPr>
              <w:jc w:val="center"/>
              <w:rPr>
                <w:rFonts w:ascii="Calibri" w:hAnsi="Calibri"/>
                <w:b/>
                <w:bCs/>
                <w:sz w:val="22"/>
                <w:szCs w:val="22"/>
                <w:lang w:val="fr-FR"/>
              </w:rPr>
            </w:pPr>
            <w:proofErr w:type="spellStart"/>
            <w:r w:rsidRPr="00790586">
              <w:rPr>
                <w:rFonts w:ascii="Calibri" w:hAnsi="Calibri"/>
                <w:b/>
                <w:bCs/>
                <w:sz w:val="22"/>
                <w:szCs w:val="22"/>
                <w:lang w:val="fr-FR"/>
              </w:rPr>
              <w:t>Material</w:t>
            </w:r>
            <w:proofErr w:type="spellEnd"/>
            <w:r w:rsidRPr="00790586">
              <w:rPr>
                <w:rFonts w:ascii="Calibri" w:hAnsi="Calibri"/>
                <w:b/>
                <w:bCs/>
                <w:sz w:val="22"/>
                <w:szCs w:val="22"/>
                <w:lang w:val="fr-FR"/>
              </w:rPr>
              <w:t xml:space="preserve"> </w:t>
            </w:r>
            <w:proofErr w:type="spellStart"/>
            <w:r w:rsidRPr="00790586">
              <w:rPr>
                <w:rFonts w:ascii="Calibri" w:hAnsi="Calibri"/>
                <w:b/>
                <w:bCs/>
                <w:sz w:val="22"/>
                <w:szCs w:val="22"/>
                <w:lang w:val="fr-FR"/>
              </w:rPr>
              <w:t>Fee</w:t>
            </w:r>
            <w:proofErr w:type="spellEnd"/>
            <w:r w:rsidRPr="00790586">
              <w:rPr>
                <w:rFonts w:ascii="Calibri" w:hAnsi="Calibri"/>
                <w:b/>
                <w:bCs/>
                <w:sz w:val="22"/>
                <w:szCs w:val="22"/>
                <w:lang w:val="fr-FR"/>
              </w:rPr>
              <w:t xml:space="preserve"> per </w:t>
            </w:r>
            <w:proofErr w:type="spellStart"/>
            <w:proofErr w:type="gramStart"/>
            <w:r w:rsidRPr="00790586">
              <w:rPr>
                <w:rFonts w:ascii="Calibri" w:hAnsi="Calibri"/>
                <w:b/>
                <w:bCs/>
                <w:sz w:val="22"/>
                <w:szCs w:val="22"/>
                <w:lang w:val="fr-FR"/>
              </w:rPr>
              <w:t>Hour</w:t>
            </w:r>
            <w:proofErr w:type="spellEnd"/>
            <w:proofErr w:type="gramEnd"/>
            <w:r w:rsidRPr="00790586">
              <w:rPr>
                <w:rFonts w:ascii="Calibri" w:hAnsi="Calibri"/>
                <w:b/>
                <w:bCs/>
                <w:sz w:val="22"/>
                <w:szCs w:val="22"/>
                <w:lang w:val="fr-FR"/>
              </w:rPr>
              <w:br/>
            </w:r>
            <w:r w:rsidRPr="00790586">
              <w:rPr>
                <w:rFonts w:ascii="Calibri" w:hAnsi="Calibri"/>
                <w:b/>
                <w:bCs/>
                <w:sz w:val="22"/>
                <w:szCs w:val="22"/>
                <w:lang w:val="fr-FR"/>
              </w:rPr>
              <w:br/>
            </w:r>
            <w:r w:rsidRPr="00790586">
              <w:rPr>
                <w:rFonts w:ascii="Calibri" w:hAnsi="Calibri"/>
                <w:b/>
                <w:bCs/>
                <w:sz w:val="22"/>
                <w:szCs w:val="22"/>
                <w:lang w:val="fr-FR"/>
              </w:rPr>
              <w:br/>
              <w:t>(</w:t>
            </w:r>
            <w:r>
              <w:rPr>
                <w:rFonts w:ascii="Calibri" w:hAnsi="Calibri"/>
                <w:b/>
                <w:bCs/>
                <w:sz w:val="22"/>
                <w:szCs w:val="22"/>
              </w:rPr>
              <w:t>$USD</w:t>
            </w:r>
            <w:r w:rsidRPr="00790586">
              <w:rPr>
                <w:rFonts w:ascii="Calibri" w:hAnsi="Calibri"/>
                <w:b/>
                <w:bCs/>
                <w:sz w:val="22"/>
                <w:szCs w:val="22"/>
                <w:lang w:val="fr-FR"/>
              </w:rPr>
              <w:t>)</w:t>
            </w:r>
          </w:p>
        </w:tc>
        <w:tc>
          <w:tcPr>
            <w:tcW w:w="1024" w:type="dxa"/>
            <w:vAlign w:val="center"/>
            <w:hideMark/>
          </w:tcPr>
          <w:p w:rsidR="00790586" w:rsidRPr="00790586" w:rsidRDefault="00790586" w:rsidP="00790586">
            <w:pPr>
              <w:jc w:val="center"/>
              <w:rPr>
                <w:rFonts w:ascii="Calibri" w:hAnsi="Calibri"/>
                <w:b/>
                <w:bCs/>
                <w:sz w:val="22"/>
                <w:szCs w:val="22"/>
              </w:rPr>
            </w:pPr>
            <w:r w:rsidRPr="00790586">
              <w:rPr>
                <w:rFonts w:ascii="Calibri" w:hAnsi="Calibri"/>
                <w:b/>
                <w:bCs/>
                <w:sz w:val="22"/>
                <w:szCs w:val="22"/>
              </w:rPr>
              <w:t>Total Material Fee</w:t>
            </w:r>
            <w:r w:rsidRPr="00790586">
              <w:rPr>
                <w:rFonts w:ascii="Calibri" w:hAnsi="Calibri"/>
                <w:b/>
                <w:bCs/>
                <w:sz w:val="22"/>
                <w:szCs w:val="22"/>
              </w:rPr>
              <w:br/>
            </w:r>
            <w:r w:rsidRPr="00790586">
              <w:rPr>
                <w:rFonts w:ascii="Calibri" w:hAnsi="Calibri"/>
                <w:b/>
                <w:bCs/>
                <w:sz w:val="22"/>
                <w:szCs w:val="22"/>
              </w:rPr>
              <w:br/>
              <w:t>(</w:t>
            </w:r>
            <w:r>
              <w:rPr>
                <w:rFonts w:ascii="Calibri" w:hAnsi="Calibri"/>
                <w:b/>
                <w:bCs/>
                <w:sz w:val="22"/>
                <w:szCs w:val="22"/>
              </w:rPr>
              <w:t>$USD</w:t>
            </w:r>
            <w:r w:rsidRPr="00790586">
              <w:rPr>
                <w:rFonts w:ascii="Calibri" w:hAnsi="Calibri"/>
                <w:b/>
                <w:bCs/>
                <w:sz w:val="22"/>
                <w:szCs w:val="22"/>
              </w:rPr>
              <w:t>)</w:t>
            </w:r>
          </w:p>
        </w:tc>
      </w:tr>
      <w:tr w:rsidR="00790586" w:rsidRPr="00790586" w:rsidTr="00D16CD0">
        <w:trPr>
          <w:trHeight w:val="300"/>
          <w:jc w:val="center"/>
        </w:trPr>
        <w:tc>
          <w:tcPr>
            <w:tcW w:w="2719" w:type="dxa"/>
            <w:vAlign w:val="center"/>
            <w:hideMark/>
          </w:tcPr>
          <w:p w:rsidR="00790586" w:rsidRPr="00790586" w:rsidRDefault="00790586" w:rsidP="00D16CD0">
            <w:pPr>
              <w:rPr>
                <w:rFonts w:ascii="Calibri" w:hAnsi="Calibri"/>
                <w:lang w:val="fr-FR"/>
              </w:rPr>
            </w:pPr>
            <w:r w:rsidRPr="00790586">
              <w:rPr>
                <w:rFonts w:ascii="Calibri" w:hAnsi="Calibri"/>
                <w:b/>
                <w:lang w:val="fr-FR"/>
              </w:rPr>
              <w:t xml:space="preserve">Dancing </w:t>
            </w:r>
            <w:proofErr w:type="spellStart"/>
            <w:r w:rsidRPr="00790586">
              <w:rPr>
                <w:rFonts w:ascii="Calibri" w:hAnsi="Calibri"/>
                <w:b/>
                <w:lang w:val="fr-FR"/>
              </w:rPr>
              <w:t>Around</w:t>
            </w:r>
            <w:proofErr w:type="spellEnd"/>
            <w:r w:rsidRPr="00790586">
              <w:rPr>
                <w:rFonts w:ascii="Calibri" w:hAnsi="Calibri"/>
                <w:b/>
                <w:lang w:val="fr-FR"/>
              </w:rPr>
              <w:t xml:space="preserve"> The </w:t>
            </w:r>
            <w:proofErr w:type="spellStart"/>
            <w:r w:rsidRPr="00790586">
              <w:rPr>
                <w:rFonts w:ascii="Calibri" w:hAnsi="Calibri"/>
                <w:b/>
                <w:lang w:val="fr-FR"/>
              </w:rPr>
              <w:t>Maypole</w:t>
            </w:r>
            <w:proofErr w:type="spellEnd"/>
            <w:r w:rsidRPr="00790586">
              <w:rPr>
                <w:rFonts w:ascii="Calibri" w:hAnsi="Calibri"/>
                <w:b/>
                <w:lang w:val="fr-FR"/>
              </w:rPr>
              <w:t xml:space="preserve"> (DANMAY</w:t>
            </w:r>
            <w:proofErr w:type="gramStart"/>
            <w:r w:rsidRPr="00790586">
              <w:rPr>
                <w:rFonts w:ascii="Calibri" w:hAnsi="Calibri"/>
                <w:b/>
                <w:lang w:val="fr-FR"/>
              </w:rPr>
              <w:t>)</w:t>
            </w:r>
            <w:proofErr w:type="gramEnd"/>
            <w:r w:rsidRPr="00790586">
              <w:rPr>
                <w:rFonts w:ascii="Calibri" w:hAnsi="Calibri"/>
                <w:lang w:val="fr-FR"/>
              </w:rPr>
              <w:br/>
              <w:t xml:space="preserve">2 </w:t>
            </w:r>
            <w:proofErr w:type="spellStart"/>
            <w:r w:rsidRPr="00790586">
              <w:rPr>
                <w:rFonts w:ascii="Calibri" w:hAnsi="Calibri"/>
                <w:lang w:val="fr-FR"/>
              </w:rPr>
              <w:t>hour</w:t>
            </w:r>
            <w:proofErr w:type="spellEnd"/>
            <w:r w:rsidRPr="00790586">
              <w:rPr>
                <w:rFonts w:ascii="Calibri" w:hAnsi="Calibri"/>
                <w:lang w:val="fr-FR"/>
              </w:rPr>
              <w:t xml:space="preserve"> </w:t>
            </w:r>
            <w:proofErr w:type="spellStart"/>
            <w:r w:rsidRPr="00790586">
              <w:rPr>
                <w:rFonts w:ascii="Calibri" w:hAnsi="Calibri"/>
                <w:lang w:val="fr-FR"/>
              </w:rPr>
              <w:t>feature</w:t>
            </w:r>
            <w:proofErr w:type="spellEnd"/>
          </w:p>
        </w:tc>
        <w:tc>
          <w:tcPr>
            <w:tcW w:w="1047" w:type="dxa"/>
            <w:vAlign w:val="center"/>
          </w:tcPr>
          <w:p w:rsidR="00790586" w:rsidRPr="00790586" w:rsidRDefault="00790586" w:rsidP="00D16CD0">
            <w:pPr>
              <w:jc w:val="center"/>
              <w:rPr>
                <w:rFonts w:ascii="Calibri" w:hAnsi="Calibri"/>
                <w:lang w:val="fr-FR"/>
              </w:rPr>
            </w:pPr>
            <w:r w:rsidRPr="00790586">
              <w:rPr>
                <w:rFonts w:ascii="Calibri" w:hAnsi="Calibri"/>
                <w:lang w:val="fr-FR"/>
              </w:rPr>
              <w:t xml:space="preserve">2 </w:t>
            </w:r>
            <w:proofErr w:type="spellStart"/>
            <w:r w:rsidRPr="00790586">
              <w:rPr>
                <w:rFonts w:ascii="Calibri" w:hAnsi="Calibri"/>
                <w:lang w:val="fr-FR"/>
              </w:rPr>
              <w:t>hour</w:t>
            </w:r>
            <w:proofErr w:type="spellEnd"/>
            <w:r w:rsidRPr="00790586">
              <w:rPr>
                <w:rFonts w:ascii="Calibri" w:hAnsi="Calibri"/>
                <w:lang w:val="fr-FR"/>
              </w:rPr>
              <w:t xml:space="preserve"> </w:t>
            </w:r>
            <w:proofErr w:type="spellStart"/>
            <w:r w:rsidRPr="00790586">
              <w:rPr>
                <w:rFonts w:ascii="Calibri" w:hAnsi="Calibri"/>
                <w:lang w:val="fr-FR"/>
              </w:rPr>
              <w:t>feature</w:t>
            </w:r>
            <w:proofErr w:type="spellEnd"/>
          </w:p>
        </w:tc>
        <w:tc>
          <w:tcPr>
            <w:tcW w:w="1000" w:type="dxa"/>
            <w:vAlign w:val="center"/>
          </w:tcPr>
          <w:p w:rsidR="00790586" w:rsidRPr="00790586" w:rsidRDefault="00790586" w:rsidP="00D16CD0">
            <w:pPr>
              <w:jc w:val="center"/>
              <w:rPr>
                <w:rFonts w:ascii="Calibri" w:hAnsi="Calibri"/>
                <w:lang w:val="fr-FR"/>
              </w:rPr>
            </w:pPr>
            <w:r w:rsidRPr="00790586">
              <w:rPr>
                <w:rFonts w:ascii="Calibri" w:hAnsi="Calibri"/>
                <w:lang w:val="fr-FR"/>
              </w:rPr>
              <w:t>2005</w:t>
            </w:r>
          </w:p>
        </w:tc>
        <w:tc>
          <w:tcPr>
            <w:tcW w:w="682" w:type="dxa"/>
            <w:vAlign w:val="center"/>
          </w:tcPr>
          <w:p w:rsidR="00790586" w:rsidRPr="00790586" w:rsidRDefault="00790586" w:rsidP="00D16CD0">
            <w:pPr>
              <w:jc w:val="center"/>
              <w:rPr>
                <w:rFonts w:ascii="Calibri" w:hAnsi="Calibri"/>
                <w:lang w:val="fr-FR"/>
              </w:rPr>
            </w:pPr>
            <w:r w:rsidRPr="00790586">
              <w:rPr>
                <w:rFonts w:ascii="Calibri" w:hAnsi="Calibri"/>
                <w:lang w:val="fr-FR"/>
              </w:rPr>
              <w:t>2.0</w:t>
            </w:r>
          </w:p>
        </w:tc>
        <w:tc>
          <w:tcPr>
            <w:tcW w:w="1052" w:type="dxa"/>
            <w:vAlign w:val="center"/>
          </w:tcPr>
          <w:p w:rsidR="00790586" w:rsidRPr="00790586" w:rsidRDefault="00790586" w:rsidP="00D16CD0">
            <w:pPr>
              <w:jc w:val="center"/>
              <w:rPr>
                <w:rFonts w:ascii="Calibri" w:hAnsi="Calibri"/>
                <w:lang w:val="fr-FR"/>
              </w:rPr>
            </w:pPr>
            <w:r w:rsidRPr="00790586">
              <w:rPr>
                <w:rFonts w:ascii="Calibri" w:hAnsi="Calibri"/>
                <w:lang w:val="fr-FR"/>
              </w:rPr>
              <w:t>170,277.25</w:t>
            </w:r>
          </w:p>
        </w:tc>
        <w:tc>
          <w:tcPr>
            <w:tcW w:w="1292"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340,554.5</w:t>
            </w:r>
          </w:p>
        </w:tc>
        <w:tc>
          <w:tcPr>
            <w:tcW w:w="930" w:type="dxa"/>
            <w:vAlign w:val="center"/>
          </w:tcPr>
          <w:p w:rsidR="00790586" w:rsidRPr="00790586" w:rsidRDefault="00790586" w:rsidP="00D16CD0">
            <w:pPr>
              <w:jc w:val="center"/>
              <w:rPr>
                <w:rFonts w:ascii="Calibri" w:hAnsi="Calibri"/>
                <w:lang w:val="fr-FR"/>
              </w:rPr>
            </w:pPr>
            <w:r w:rsidRPr="00790586">
              <w:rPr>
                <w:rFonts w:ascii="Calibri" w:hAnsi="Calibri"/>
                <w:lang w:val="fr-FR"/>
              </w:rPr>
              <w:t>100.00</w:t>
            </w:r>
          </w:p>
        </w:tc>
        <w:tc>
          <w:tcPr>
            <w:tcW w:w="1024"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200.00</w:t>
            </w:r>
          </w:p>
        </w:tc>
      </w:tr>
      <w:tr w:rsidR="00790586" w:rsidRPr="00790586" w:rsidTr="00D16CD0">
        <w:trPr>
          <w:trHeight w:val="300"/>
          <w:jc w:val="center"/>
        </w:trPr>
        <w:tc>
          <w:tcPr>
            <w:tcW w:w="2719" w:type="dxa"/>
            <w:vAlign w:val="center"/>
          </w:tcPr>
          <w:p w:rsidR="00790586" w:rsidRPr="00790586" w:rsidRDefault="00790586" w:rsidP="00D16CD0">
            <w:pPr>
              <w:rPr>
                <w:rFonts w:ascii="Calibri" w:hAnsi="Calibri"/>
                <w:lang w:val="fr-FR"/>
              </w:rPr>
            </w:pPr>
            <w:proofErr w:type="spellStart"/>
            <w:r w:rsidRPr="00790586">
              <w:rPr>
                <w:rFonts w:ascii="Calibri" w:hAnsi="Calibri"/>
                <w:b/>
                <w:lang w:val="fr-FR"/>
              </w:rPr>
              <w:t>Immortal</w:t>
            </w:r>
            <w:proofErr w:type="spellEnd"/>
            <w:r w:rsidRPr="00790586">
              <w:rPr>
                <w:rFonts w:ascii="Calibri" w:hAnsi="Calibri"/>
                <w:b/>
                <w:lang w:val="fr-FR"/>
              </w:rPr>
              <w:t xml:space="preserve"> </w:t>
            </w:r>
            <w:proofErr w:type="spellStart"/>
            <w:r w:rsidRPr="00790586">
              <w:rPr>
                <w:rFonts w:ascii="Calibri" w:hAnsi="Calibri"/>
                <w:b/>
                <w:lang w:val="fr-FR"/>
              </w:rPr>
              <w:t>Bird</w:t>
            </w:r>
            <w:proofErr w:type="spellEnd"/>
            <w:r w:rsidRPr="00790586">
              <w:rPr>
                <w:rFonts w:ascii="Calibri" w:hAnsi="Calibri"/>
                <w:b/>
                <w:lang w:val="fr-FR"/>
              </w:rPr>
              <w:t xml:space="preserve"> (ODENIG</w:t>
            </w:r>
            <w:proofErr w:type="gramStart"/>
            <w:r w:rsidRPr="00790586">
              <w:rPr>
                <w:rFonts w:ascii="Calibri" w:hAnsi="Calibri"/>
                <w:b/>
                <w:lang w:val="fr-FR"/>
              </w:rPr>
              <w:t>)</w:t>
            </w:r>
            <w:proofErr w:type="gramEnd"/>
            <w:r w:rsidRPr="00790586">
              <w:rPr>
                <w:rFonts w:ascii="Calibri" w:hAnsi="Calibri"/>
                <w:lang w:val="fr-FR"/>
              </w:rPr>
              <w:br/>
              <w:t>5 x 90' (5 Episodes) [1-5]</w:t>
            </w:r>
          </w:p>
        </w:tc>
        <w:tc>
          <w:tcPr>
            <w:tcW w:w="1047" w:type="dxa"/>
            <w:vAlign w:val="center"/>
          </w:tcPr>
          <w:p w:rsidR="00790586" w:rsidRPr="00790586" w:rsidRDefault="00790586" w:rsidP="00D16CD0">
            <w:pPr>
              <w:jc w:val="center"/>
              <w:rPr>
                <w:rFonts w:ascii="Calibri" w:hAnsi="Calibri"/>
                <w:lang w:val="fr-FR"/>
              </w:rPr>
            </w:pPr>
            <w:r w:rsidRPr="00790586">
              <w:rPr>
                <w:rFonts w:ascii="Calibri" w:hAnsi="Calibri"/>
                <w:lang w:val="fr-FR"/>
              </w:rPr>
              <w:t xml:space="preserve">5 X 1/2 </w:t>
            </w:r>
            <w:proofErr w:type="spellStart"/>
            <w:r w:rsidRPr="00790586">
              <w:rPr>
                <w:rFonts w:ascii="Calibri" w:hAnsi="Calibri"/>
                <w:lang w:val="fr-FR"/>
              </w:rPr>
              <w:t>hours</w:t>
            </w:r>
            <w:proofErr w:type="spellEnd"/>
          </w:p>
        </w:tc>
        <w:tc>
          <w:tcPr>
            <w:tcW w:w="1000" w:type="dxa"/>
            <w:vAlign w:val="center"/>
          </w:tcPr>
          <w:p w:rsidR="00790586" w:rsidRPr="00790586" w:rsidRDefault="00790586" w:rsidP="00D16CD0">
            <w:pPr>
              <w:jc w:val="center"/>
              <w:rPr>
                <w:rFonts w:ascii="Calibri" w:hAnsi="Calibri"/>
                <w:lang w:val="fr-FR"/>
              </w:rPr>
            </w:pPr>
            <w:r w:rsidRPr="00790586">
              <w:rPr>
                <w:rFonts w:ascii="Calibri" w:hAnsi="Calibri"/>
                <w:lang w:val="fr-FR"/>
              </w:rPr>
              <w:t>2002</w:t>
            </w:r>
          </w:p>
        </w:tc>
        <w:tc>
          <w:tcPr>
            <w:tcW w:w="682" w:type="dxa"/>
            <w:vAlign w:val="center"/>
          </w:tcPr>
          <w:p w:rsidR="00790586" w:rsidRPr="00790586" w:rsidRDefault="00790586" w:rsidP="00D16CD0">
            <w:pPr>
              <w:jc w:val="center"/>
              <w:rPr>
                <w:rFonts w:ascii="Calibri" w:hAnsi="Calibri"/>
                <w:lang w:val="fr-FR"/>
              </w:rPr>
            </w:pPr>
            <w:r w:rsidRPr="00790586">
              <w:rPr>
                <w:rFonts w:ascii="Calibri" w:hAnsi="Calibri"/>
                <w:lang w:val="fr-FR"/>
              </w:rPr>
              <w:t>7.5</w:t>
            </w:r>
          </w:p>
        </w:tc>
        <w:tc>
          <w:tcPr>
            <w:tcW w:w="1052" w:type="dxa"/>
            <w:vAlign w:val="center"/>
          </w:tcPr>
          <w:p w:rsidR="00790586" w:rsidRPr="00790586" w:rsidRDefault="00790586" w:rsidP="00D16CD0">
            <w:pPr>
              <w:jc w:val="center"/>
              <w:rPr>
                <w:rFonts w:ascii="Calibri" w:hAnsi="Calibri"/>
                <w:lang w:val="fr-FR"/>
              </w:rPr>
            </w:pPr>
            <w:r w:rsidRPr="00790586">
              <w:rPr>
                <w:rFonts w:ascii="Calibri" w:hAnsi="Calibri"/>
                <w:lang w:val="fr-FR"/>
              </w:rPr>
              <w:t>57,251.30</w:t>
            </w:r>
          </w:p>
        </w:tc>
        <w:tc>
          <w:tcPr>
            <w:tcW w:w="1292"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429,384.8</w:t>
            </w:r>
          </w:p>
        </w:tc>
        <w:tc>
          <w:tcPr>
            <w:tcW w:w="930" w:type="dxa"/>
            <w:vAlign w:val="center"/>
          </w:tcPr>
          <w:p w:rsidR="00790586" w:rsidRPr="00790586" w:rsidRDefault="00790586" w:rsidP="00D16CD0">
            <w:pPr>
              <w:jc w:val="center"/>
              <w:rPr>
                <w:rFonts w:ascii="Calibri" w:hAnsi="Calibri"/>
                <w:lang w:val="fr-FR"/>
              </w:rPr>
            </w:pPr>
            <w:r w:rsidRPr="00790586">
              <w:rPr>
                <w:rFonts w:ascii="Calibri" w:hAnsi="Calibri"/>
                <w:lang w:val="fr-FR"/>
              </w:rPr>
              <w:t>100.00</w:t>
            </w:r>
          </w:p>
        </w:tc>
        <w:tc>
          <w:tcPr>
            <w:tcW w:w="1024"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750.00</w:t>
            </w:r>
          </w:p>
        </w:tc>
      </w:tr>
      <w:tr w:rsidR="00790586" w:rsidRPr="00790586" w:rsidTr="00D16CD0">
        <w:trPr>
          <w:trHeight w:val="300"/>
          <w:jc w:val="center"/>
        </w:trPr>
        <w:tc>
          <w:tcPr>
            <w:tcW w:w="2719" w:type="dxa"/>
            <w:vAlign w:val="center"/>
          </w:tcPr>
          <w:p w:rsidR="00790586" w:rsidRPr="00790586" w:rsidRDefault="00790586" w:rsidP="00D16CD0">
            <w:pPr>
              <w:rPr>
                <w:rFonts w:ascii="Calibri" w:hAnsi="Calibri"/>
                <w:lang w:val="fr-FR"/>
              </w:rPr>
            </w:pPr>
            <w:r w:rsidRPr="00790586">
              <w:rPr>
                <w:rFonts w:ascii="Calibri" w:hAnsi="Calibri"/>
                <w:b/>
                <w:lang w:val="fr-FR"/>
              </w:rPr>
              <w:t xml:space="preserve">Sweet </w:t>
            </w:r>
            <w:proofErr w:type="spellStart"/>
            <w:r w:rsidRPr="00790586">
              <w:rPr>
                <w:rFonts w:ascii="Calibri" w:hAnsi="Calibri"/>
                <w:b/>
                <w:lang w:val="fr-FR"/>
              </w:rPr>
              <w:t>Thing</w:t>
            </w:r>
            <w:proofErr w:type="spellEnd"/>
            <w:r w:rsidRPr="00790586">
              <w:rPr>
                <w:rFonts w:ascii="Calibri" w:hAnsi="Calibri"/>
                <w:b/>
                <w:lang w:val="fr-FR"/>
              </w:rPr>
              <w:t xml:space="preserve"> (SWETHI</w:t>
            </w:r>
            <w:proofErr w:type="gramStart"/>
            <w:r w:rsidRPr="00790586">
              <w:rPr>
                <w:rFonts w:ascii="Calibri" w:hAnsi="Calibri"/>
                <w:b/>
                <w:lang w:val="fr-FR"/>
              </w:rPr>
              <w:t>)</w:t>
            </w:r>
            <w:proofErr w:type="gramEnd"/>
            <w:r w:rsidRPr="00790586">
              <w:rPr>
                <w:rFonts w:ascii="Calibri" w:hAnsi="Calibri"/>
                <w:lang w:val="fr-FR"/>
              </w:rPr>
              <w:br/>
              <w:t>8 x 15' (8 Episodes) [1-8]</w:t>
            </w:r>
          </w:p>
        </w:tc>
        <w:tc>
          <w:tcPr>
            <w:tcW w:w="1047" w:type="dxa"/>
            <w:vAlign w:val="center"/>
          </w:tcPr>
          <w:p w:rsidR="00790586" w:rsidRPr="00790586" w:rsidRDefault="00790586" w:rsidP="00D16CD0">
            <w:pPr>
              <w:jc w:val="center"/>
              <w:rPr>
                <w:rFonts w:ascii="Calibri" w:hAnsi="Calibri"/>
                <w:lang w:val="fr-FR"/>
              </w:rPr>
            </w:pPr>
            <w:r w:rsidRPr="00790586">
              <w:rPr>
                <w:rFonts w:ascii="Calibri" w:hAnsi="Calibri"/>
                <w:lang w:val="fr-FR"/>
              </w:rPr>
              <w:t>8 x 15'</w:t>
            </w:r>
          </w:p>
        </w:tc>
        <w:tc>
          <w:tcPr>
            <w:tcW w:w="1000" w:type="dxa"/>
            <w:vAlign w:val="center"/>
          </w:tcPr>
          <w:p w:rsidR="00790586" w:rsidRPr="00790586" w:rsidRDefault="00790586" w:rsidP="00D16CD0">
            <w:pPr>
              <w:jc w:val="center"/>
              <w:rPr>
                <w:rFonts w:ascii="Calibri" w:hAnsi="Calibri"/>
                <w:lang w:val="fr-FR"/>
              </w:rPr>
            </w:pPr>
            <w:r w:rsidRPr="00790586">
              <w:rPr>
                <w:rFonts w:ascii="Calibri" w:hAnsi="Calibri"/>
                <w:lang w:val="fr-FR"/>
              </w:rPr>
              <w:t>2002</w:t>
            </w:r>
          </w:p>
        </w:tc>
        <w:tc>
          <w:tcPr>
            <w:tcW w:w="682" w:type="dxa"/>
            <w:vAlign w:val="center"/>
          </w:tcPr>
          <w:p w:rsidR="00790586" w:rsidRPr="00790586" w:rsidRDefault="00790586" w:rsidP="00D16CD0">
            <w:pPr>
              <w:jc w:val="center"/>
              <w:rPr>
                <w:rFonts w:ascii="Calibri" w:hAnsi="Calibri"/>
                <w:lang w:val="fr-FR"/>
              </w:rPr>
            </w:pPr>
            <w:r w:rsidRPr="00790586">
              <w:rPr>
                <w:rFonts w:ascii="Calibri" w:hAnsi="Calibri"/>
                <w:lang w:val="fr-FR"/>
              </w:rPr>
              <w:t>2.0</w:t>
            </w:r>
          </w:p>
        </w:tc>
        <w:tc>
          <w:tcPr>
            <w:tcW w:w="1052" w:type="dxa"/>
            <w:vAlign w:val="center"/>
          </w:tcPr>
          <w:p w:rsidR="00790586" w:rsidRPr="00790586" w:rsidRDefault="00790586" w:rsidP="00D16CD0">
            <w:pPr>
              <w:jc w:val="center"/>
              <w:rPr>
                <w:rFonts w:ascii="Calibri" w:hAnsi="Calibri"/>
                <w:lang w:val="fr-FR"/>
              </w:rPr>
            </w:pPr>
            <w:r w:rsidRPr="00790586">
              <w:rPr>
                <w:rFonts w:ascii="Calibri" w:hAnsi="Calibri"/>
                <w:lang w:val="fr-FR"/>
              </w:rPr>
              <w:t>343,507.81</w:t>
            </w:r>
          </w:p>
        </w:tc>
        <w:tc>
          <w:tcPr>
            <w:tcW w:w="1292"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687,015.6</w:t>
            </w:r>
          </w:p>
        </w:tc>
        <w:tc>
          <w:tcPr>
            <w:tcW w:w="930" w:type="dxa"/>
            <w:vAlign w:val="center"/>
          </w:tcPr>
          <w:p w:rsidR="00790586" w:rsidRPr="00790586" w:rsidRDefault="00790586" w:rsidP="00D16CD0">
            <w:pPr>
              <w:jc w:val="center"/>
              <w:rPr>
                <w:rFonts w:ascii="Calibri" w:hAnsi="Calibri"/>
                <w:lang w:val="fr-FR"/>
              </w:rPr>
            </w:pPr>
            <w:r w:rsidRPr="00790586">
              <w:rPr>
                <w:rFonts w:ascii="Calibri" w:hAnsi="Calibri"/>
                <w:lang w:val="fr-FR"/>
              </w:rPr>
              <w:t>100.00</w:t>
            </w:r>
          </w:p>
        </w:tc>
        <w:tc>
          <w:tcPr>
            <w:tcW w:w="1024"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200.00</w:t>
            </w:r>
          </w:p>
        </w:tc>
      </w:tr>
      <w:tr w:rsidR="00790586" w:rsidTr="00D16CD0">
        <w:trPr>
          <w:trHeight w:val="300"/>
          <w:jc w:val="center"/>
        </w:trPr>
        <w:tc>
          <w:tcPr>
            <w:tcW w:w="2719" w:type="dxa"/>
            <w:vAlign w:val="center"/>
          </w:tcPr>
          <w:p w:rsidR="00790586" w:rsidRPr="00790586" w:rsidRDefault="00790586" w:rsidP="00D16CD0">
            <w:pPr>
              <w:rPr>
                <w:rFonts w:ascii="Calibri" w:hAnsi="Calibri"/>
                <w:b/>
                <w:lang w:val="fr-FR"/>
              </w:rPr>
            </w:pPr>
            <w:r w:rsidRPr="00790586">
              <w:rPr>
                <w:rFonts w:ascii="Calibri" w:hAnsi="Calibri"/>
                <w:b/>
                <w:lang w:val="fr-FR"/>
              </w:rPr>
              <w:t>TOTAL</w:t>
            </w:r>
          </w:p>
        </w:tc>
        <w:tc>
          <w:tcPr>
            <w:tcW w:w="1047" w:type="dxa"/>
            <w:vAlign w:val="center"/>
          </w:tcPr>
          <w:p w:rsidR="00790586" w:rsidRPr="00790586" w:rsidRDefault="00790586" w:rsidP="00D16CD0">
            <w:pPr>
              <w:jc w:val="center"/>
              <w:rPr>
                <w:rFonts w:ascii="Calibri" w:hAnsi="Calibri"/>
                <w:lang w:val="fr-FR"/>
              </w:rPr>
            </w:pPr>
          </w:p>
        </w:tc>
        <w:tc>
          <w:tcPr>
            <w:tcW w:w="1000" w:type="dxa"/>
            <w:vAlign w:val="center"/>
          </w:tcPr>
          <w:p w:rsidR="00790586" w:rsidRPr="00790586" w:rsidRDefault="00790586" w:rsidP="00D16CD0">
            <w:pPr>
              <w:jc w:val="center"/>
              <w:rPr>
                <w:rFonts w:ascii="Calibri" w:hAnsi="Calibri"/>
                <w:lang w:val="fr-FR"/>
              </w:rPr>
            </w:pPr>
          </w:p>
        </w:tc>
        <w:tc>
          <w:tcPr>
            <w:tcW w:w="682" w:type="dxa"/>
            <w:vAlign w:val="center"/>
          </w:tcPr>
          <w:p w:rsidR="00790586" w:rsidRPr="00790586" w:rsidRDefault="00790586" w:rsidP="00D16CD0">
            <w:pPr>
              <w:jc w:val="center"/>
              <w:rPr>
                <w:rFonts w:ascii="Calibri" w:hAnsi="Calibri"/>
                <w:lang w:val="fr-FR"/>
              </w:rPr>
            </w:pPr>
            <w:r w:rsidRPr="00790586">
              <w:rPr>
                <w:rFonts w:ascii="Calibri" w:hAnsi="Calibri"/>
                <w:lang w:val="fr-FR"/>
              </w:rPr>
              <w:t>11.5</w:t>
            </w:r>
          </w:p>
        </w:tc>
        <w:tc>
          <w:tcPr>
            <w:tcW w:w="1052" w:type="dxa"/>
            <w:vAlign w:val="center"/>
          </w:tcPr>
          <w:p w:rsidR="00790586" w:rsidRPr="00790586" w:rsidRDefault="00790586" w:rsidP="00D16CD0">
            <w:pPr>
              <w:jc w:val="center"/>
              <w:rPr>
                <w:rFonts w:ascii="Calibri" w:hAnsi="Calibri"/>
                <w:lang w:val="fr-FR"/>
              </w:rPr>
            </w:pPr>
          </w:p>
        </w:tc>
        <w:tc>
          <w:tcPr>
            <w:tcW w:w="1292" w:type="dxa"/>
            <w:vAlign w:val="center"/>
          </w:tcPr>
          <w:p w:rsidR="00790586" w:rsidRPr="00790586" w:rsidRDefault="00790586" w:rsidP="00D16CD0">
            <w:pPr>
              <w:jc w:val="center"/>
              <w:rPr>
                <w:rFonts w:ascii="Calibri" w:hAnsi="Calibri"/>
                <w:b/>
                <w:bCs/>
                <w:lang w:val="fr-FR"/>
              </w:rPr>
            </w:pPr>
            <w:r w:rsidRPr="00790586">
              <w:rPr>
                <w:rFonts w:ascii="Calibri" w:hAnsi="Calibri"/>
                <w:b/>
                <w:bCs/>
                <w:lang w:val="fr-FR"/>
              </w:rPr>
              <w:t>1</w:t>
            </w:r>
            <w:proofErr w:type="gramStart"/>
            <w:r w:rsidRPr="00790586">
              <w:rPr>
                <w:rFonts w:ascii="Calibri" w:hAnsi="Calibri"/>
                <w:b/>
                <w:bCs/>
                <w:lang w:val="fr-FR"/>
              </w:rPr>
              <w:t>,456,954.88</w:t>
            </w:r>
            <w:proofErr w:type="gramEnd"/>
          </w:p>
        </w:tc>
        <w:tc>
          <w:tcPr>
            <w:tcW w:w="930" w:type="dxa"/>
            <w:vAlign w:val="center"/>
          </w:tcPr>
          <w:p w:rsidR="00790586" w:rsidRPr="00790586" w:rsidRDefault="00790586" w:rsidP="00D16CD0">
            <w:pPr>
              <w:jc w:val="center"/>
              <w:rPr>
                <w:rFonts w:ascii="Calibri" w:hAnsi="Calibri"/>
                <w:lang w:val="fr-FR"/>
              </w:rPr>
            </w:pPr>
          </w:p>
        </w:tc>
        <w:tc>
          <w:tcPr>
            <w:tcW w:w="1024" w:type="dxa"/>
            <w:vAlign w:val="center"/>
          </w:tcPr>
          <w:p w:rsidR="00790586" w:rsidRDefault="00790586" w:rsidP="00D16CD0">
            <w:pPr>
              <w:jc w:val="center"/>
              <w:rPr>
                <w:rFonts w:ascii="Calibri" w:hAnsi="Calibri"/>
                <w:b/>
                <w:bCs/>
                <w:lang w:val="fr-FR"/>
              </w:rPr>
            </w:pPr>
            <w:r w:rsidRPr="00790586">
              <w:rPr>
                <w:rFonts w:ascii="Calibri" w:hAnsi="Calibri"/>
                <w:b/>
                <w:bCs/>
                <w:lang w:val="fr-FR"/>
              </w:rPr>
              <w:t>1,150.00</w:t>
            </w:r>
          </w:p>
        </w:tc>
      </w:tr>
    </w:tbl>
    <w:p w:rsidR="00790586" w:rsidRDefault="00790586" w:rsidP="002025EA"/>
    <w:p w:rsidR="00790586" w:rsidRDefault="00790586" w:rsidP="002025EA"/>
    <w:p w:rsidR="002025EA" w:rsidRDefault="002025EA" w:rsidP="002025EA">
      <w:r>
        <w:t xml:space="preserve">&lt;&lt;Delivery days after payment&gt;&gt; </w:t>
      </w:r>
    </w:p>
    <w:p w:rsidR="002025EA" w:rsidRDefault="002025EA" w:rsidP="002025EA"/>
    <w:p w:rsidR="002025EA" w:rsidRDefault="002025EA" w:rsidP="002025EA"/>
    <w:p w:rsidR="002025EA" w:rsidRDefault="002025EA" w:rsidP="002025EA">
      <w:r>
        <w:t xml:space="preserve">&lt;&lt;License Fee Clause </w:t>
      </w:r>
      <w:proofErr w:type="gramStart"/>
      <w:r>
        <w:t>With</w:t>
      </w:r>
      <w:proofErr w:type="gramEnd"/>
      <w:r>
        <w:t xml:space="preserve"> Total and Per Episode Amounts&gt;&gt;</w:t>
      </w:r>
    </w:p>
    <w:p w:rsidR="002025EA" w:rsidRDefault="002025EA" w:rsidP="002025EA"/>
    <w:p w:rsidR="002025EA" w:rsidRDefault="002025EA" w:rsidP="002025EA">
      <w:r>
        <w:t xml:space="preserve">&lt;&lt;Materials Fee Clause </w:t>
      </w:r>
      <w:proofErr w:type="gramStart"/>
      <w:r>
        <w:t>With</w:t>
      </w:r>
      <w:proofErr w:type="gramEnd"/>
      <w:r>
        <w:t xml:space="preserve"> Total and Per Episode Amounts&gt;&gt;</w:t>
      </w:r>
    </w:p>
    <w:p w:rsidR="002025EA" w:rsidRDefault="002025EA" w:rsidP="002025EA"/>
    <w:p w:rsidR="002025EA" w:rsidRDefault="002025EA" w:rsidP="002025EA">
      <w:r>
        <w:t>&lt;&lt;CH&gt;</w:t>
      </w:r>
      <w:proofErr w:type="gramStart"/>
      <w:r>
        <w:t>&gt;  US</w:t>
      </w:r>
      <w:proofErr w:type="gramEnd"/>
      <w:r>
        <w:t>$/</w:t>
      </w:r>
      <w:proofErr w:type="spellStart"/>
      <w:r>
        <w:t>hr</w:t>
      </w:r>
      <w:proofErr w:type="spellEnd"/>
    </w:p>
    <w:p w:rsidR="002025EA" w:rsidRDefault="002025EA" w:rsidP="002025EA"/>
    <w:p w:rsidR="002025EA" w:rsidRDefault="002025EA" w:rsidP="002025EA">
      <w:r>
        <w:t>&lt;&lt;CCS&gt;&gt; US$</w:t>
      </w:r>
    </w:p>
    <w:p w:rsidR="002025EA" w:rsidRDefault="002025EA" w:rsidP="002025EA"/>
    <w:p w:rsidR="002025EA" w:rsidRDefault="002025EA" w:rsidP="002025EA">
      <w:r>
        <w:t xml:space="preserve">&lt;&lt;Materials Fee Clause </w:t>
      </w:r>
      <w:proofErr w:type="gramStart"/>
      <w:r>
        <w:t>With</w:t>
      </w:r>
      <w:proofErr w:type="gramEnd"/>
      <w:r>
        <w:t xml:space="preserve"> Total and Per Episode Amounts&gt;&gt;</w:t>
      </w:r>
    </w:p>
    <w:p w:rsidR="002025EA" w:rsidRDefault="002025EA" w:rsidP="002025EA"/>
    <w:p w:rsidR="002025EA" w:rsidRDefault="002025EA" w:rsidP="002025EA"/>
    <w:p w:rsidR="002025EA" w:rsidRDefault="002025EA" w:rsidP="002025EA">
      <w:r>
        <w:t>&lt;&lt;Program Detail Table&gt;&gt;</w:t>
      </w:r>
    </w:p>
    <w:p w:rsidR="002025EA" w:rsidRDefault="002025EA" w:rsidP="002025EA"/>
    <w:p w:rsidR="00B67423" w:rsidRPr="002A5492" w:rsidRDefault="00B67423" w:rsidP="00B67423">
      <w:pPr>
        <w:autoSpaceDE w:val="0"/>
        <w:autoSpaceDN w:val="0"/>
        <w:adjustRightInd w:val="0"/>
        <w:rPr>
          <w:rFonts w:ascii="Arial" w:hAnsi="Arial"/>
          <w:b/>
          <w:color w:val="0000FF"/>
          <w:sz w:val="20"/>
        </w:rPr>
      </w:pPr>
      <w:r w:rsidRPr="002A5492">
        <w:rPr>
          <w:rFonts w:ascii="Arial" w:hAnsi="Arial"/>
          <w:b/>
          <w:color w:val="0000FF"/>
          <w:sz w:val="20"/>
        </w:rPr>
        <w:t>&lt;Total Episodes Licensed&gt;</w:t>
      </w:r>
    </w:p>
    <w:p w:rsidR="00B67423" w:rsidRPr="002A5492" w:rsidRDefault="00B67423" w:rsidP="00B67423">
      <w:pPr>
        <w:autoSpaceDE w:val="0"/>
        <w:autoSpaceDN w:val="0"/>
        <w:adjustRightInd w:val="0"/>
        <w:rPr>
          <w:rFonts w:ascii="Arial" w:hAnsi="Arial"/>
          <w:color w:val="000000"/>
          <w:sz w:val="20"/>
        </w:rPr>
      </w:pPr>
      <w:r>
        <w:rPr>
          <w:rFonts w:ascii="Arial" w:hAnsi="Arial"/>
          <w:color w:val="000000"/>
          <w:sz w:val="20"/>
        </w:rPr>
        <w:t>&lt;</w:t>
      </w:r>
      <w:r w:rsidRPr="002A5492">
        <w:rPr>
          <w:rFonts w:ascii="Arial" w:hAnsi="Arial"/>
          <w:color w:val="000000"/>
          <w:sz w:val="20"/>
        </w:rPr>
        <w:t>&lt;Total Episodes Licensed&gt;</w:t>
      </w:r>
      <w:r>
        <w:rPr>
          <w:rFonts w:ascii="Arial" w:hAnsi="Arial"/>
          <w:color w:val="000000"/>
          <w:sz w:val="20"/>
        </w:rPr>
        <w:t>&gt;</w:t>
      </w:r>
    </w:p>
    <w:p w:rsidR="002025EA" w:rsidRDefault="002025EA" w:rsidP="002025EA"/>
    <w:p w:rsidR="00B67423" w:rsidRPr="002A5492" w:rsidRDefault="00B67423" w:rsidP="00B67423">
      <w:pPr>
        <w:autoSpaceDE w:val="0"/>
        <w:autoSpaceDN w:val="0"/>
        <w:adjustRightInd w:val="0"/>
        <w:rPr>
          <w:rFonts w:ascii="Arial" w:hAnsi="Arial"/>
          <w:b/>
          <w:color w:val="0000FF"/>
          <w:sz w:val="20"/>
        </w:rPr>
      </w:pPr>
      <w:r w:rsidRPr="002A5492">
        <w:rPr>
          <w:rFonts w:ascii="Arial" w:hAnsi="Arial"/>
          <w:b/>
          <w:color w:val="0000FF"/>
          <w:sz w:val="20"/>
        </w:rPr>
        <w:t>&lt;Total License Fee (Contract Currency)&gt;</w:t>
      </w:r>
    </w:p>
    <w:p w:rsidR="00B67423" w:rsidRDefault="00B67423" w:rsidP="00B67423">
      <w:pPr>
        <w:autoSpaceDE w:val="0"/>
        <w:autoSpaceDN w:val="0"/>
        <w:adjustRightInd w:val="0"/>
        <w:rPr>
          <w:rFonts w:ascii="Arial" w:hAnsi="Arial"/>
          <w:color w:val="000000"/>
          <w:sz w:val="20"/>
        </w:rPr>
      </w:pPr>
      <w:r w:rsidRPr="002A5492">
        <w:rPr>
          <w:rFonts w:ascii="Arial" w:hAnsi="Arial"/>
          <w:color w:val="000000"/>
          <w:sz w:val="20"/>
        </w:rPr>
        <w:t>&lt;&lt;Total License Fee (Contract Currency)&gt;&gt;</w:t>
      </w:r>
    </w:p>
    <w:p w:rsidR="00B67423" w:rsidRDefault="00B67423" w:rsidP="00B67423">
      <w:pPr>
        <w:autoSpaceDE w:val="0"/>
        <w:autoSpaceDN w:val="0"/>
        <w:adjustRightInd w:val="0"/>
        <w:rPr>
          <w:rFonts w:ascii="Arial" w:hAnsi="Arial"/>
          <w:color w:val="000000"/>
          <w:sz w:val="20"/>
        </w:rPr>
      </w:pPr>
    </w:p>
    <w:p w:rsidR="00B67423" w:rsidRPr="002A5492" w:rsidRDefault="00B67423" w:rsidP="00B67423">
      <w:pPr>
        <w:autoSpaceDE w:val="0"/>
        <w:autoSpaceDN w:val="0"/>
        <w:adjustRightInd w:val="0"/>
        <w:rPr>
          <w:rFonts w:ascii="Arial" w:hAnsi="Arial"/>
          <w:b/>
          <w:color w:val="0000FF"/>
          <w:sz w:val="20"/>
        </w:rPr>
      </w:pPr>
      <w:r w:rsidRPr="002A5492">
        <w:rPr>
          <w:rFonts w:ascii="Arial" w:hAnsi="Arial"/>
          <w:b/>
          <w:color w:val="0000FF"/>
          <w:sz w:val="20"/>
        </w:rPr>
        <w:t>&lt;Total License Fee (Contract Currency) With Currency Name&gt;</w:t>
      </w:r>
    </w:p>
    <w:p w:rsidR="00B67423" w:rsidRDefault="00B67423" w:rsidP="00B67423">
      <w:pPr>
        <w:autoSpaceDE w:val="0"/>
        <w:autoSpaceDN w:val="0"/>
        <w:adjustRightInd w:val="0"/>
        <w:rPr>
          <w:rFonts w:ascii="Arial" w:hAnsi="Arial"/>
          <w:color w:val="000000"/>
          <w:sz w:val="20"/>
        </w:rPr>
      </w:pPr>
      <w:r w:rsidRPr="002A5492">
        <w:rPr>
          <w:rFonts w:ascii="Arial" w:hAnsi="Arial"/>
          <w:color w:val="000000"/>
          <w:sz w:val="20"/>
        </w:rPr>
        <w:t>&lt;&lt;Total License Fee (Contract Currency) With Currency Name&gt;&gt;</w:t>
      </w:r>
    </w:p>
    <w:p w:rsidR="00B67423" w:rsidRDefault="00B67423" w:rsidP="00B67423">
      <w:pPr>
        <w:autoSpaceDE w:val="0"/>
        <w:autoSpaceDN w:val="0"/>
        <w:adjustRightInd w:val="0"/>
        <w:rPr>
          <w:rFonts w:ascii="Arial" w:hAnsi="Arial"/>
          <w:color w:val="000000"/>
          <w:sz w:val="20"/>
        </w:rPr>
      </w:pPr>
    </w:p>
    <w:p w:rsidR="00B67423" w:rsidRPr="002A5492" w:rsidRDefault="00B67423" w:rsidP="00B67423">
      <w:pPr>
        <w:autoSpaceDE w:val="0"/>
        <w:autoSpaceDN w:val="0"/>
        <w:adjustRightInd w:val="0"/>
        <w:rPr>
          <w:rFonts w:ascii="Arial" w:hAnsi="Arial"/>
          <w:b/>
          <w:color w:val="0000FF"/>
          <w:sz w:val="20"/>
        </w:rPr>
      </w:pPr>
      <w:r w:rsidRPr="002A5492">
        <w:rPr>
          <w:rFonts w:ascii="Arial" w:hAnsi="Arial"/>
          <w:b/>
          <w:color w:val="0000FF"/>
          <w:sz w:val="20"/>
        </w:rPr>
        <w:t>&lt;Total License Fee Description (Contract Currency)&gt;</w:t>
      </w:r>
    </w:p>
    <w:p w:rsidR="00B67423" w:rsidRDefault="00B67423" w:rsidP="00B67423">
      <w:pPr>
        <w:autoSpaceDE w:val="0"/>
        <w:autoSpaceDN w:val="0"/>
        <w:adjustRightInd w:val="0"/>
        <w:rPr>
          <w:rFonts w:ascii="Arial" w:hAnsi="Arial"/>
          <w:color w:val="000000"/>
          <w:sz w:val="20"/>
        </w:rPr>
      </w:pPr>
      <w:r w:rsidRPr="002A5492">
        <w:rPr>
          <w:rFonts w:ascii="Arial" w:hAnsi="Arial"/>
          <w:color w:val="000000"/>
          <w:sz w:val="20"/>
        </w:rPr>
        <w:t>&lt;&lt;Total License Fee Description (Contract Currency)&gt;&gt;</w:t>
      </w:r>
    </w:p>
    <w:p w:rsidR="00B67423" w:rsidRDefault="00B67423" w:rsidP="00B67423">
      <w:pPr>
        <w:autoSpaceDE w:val="0"/>
        <w:autoSpaceDN w:val="0"/>
        <w:adjustRightInd w:val="0"/>
        <w:rPr>
          <w:rFonts w:ascii="Arial" w:hAnsi="Arial"/>
          <w:color w:val="000000"/>
          <w:sz w:val="20"/>
        </w:rPr>
      </w:pPr>
    </w:p>
    <w:p w:rsidR="00B67423" w:rsidRPr="002A5492" w:rsidRDefault="00B67423" w:rsidP="00B67423">
      <w:pPr>
        <w:autoSpaceDE w:val="0"/>
        <w:autoSpaceDN w:val="0"/>
        <w:adjustRightInd w:val="0"/>
        <w:rPr>
          <w:rFonts w:ascii="Arial" w:hAnsi="Arial"/>
          <w:b/>
          <w:color w:val="0000FF"/>
          <w:sz w:val="20"/>
        </w:rPr>
      </w:pPr>
      <w:r w:rsidRPr="002A5492">
        <w:rPr>
          <w:rFonts w:ascii="Arial" w:hAnsi="Arial"/>
          <w:b/>
          <w:color w:val="0000FF"/>
          <w:sz w:val="20"/>
        </w:rPr>
        <w:t>&lt;Total Materials Cost Description (Servicing Currency)&gt;</w:t>
      </w:r>
    </w:p>
    <w:p w:rsidR="00B67423" w:rsidRDefault="00B67423" w:rsidP="00B67423">
      <w:pPr>
        <w:autoSpaceDE w:val="0"/>
        <w:autoSpaceDN w:val="0"/>
        <w:adjustRightInd w:val="0"/>
        <w:rPr>
          <w:rFonts w:ascii="Arial" w:hAnsi="Arial"/>
          <w:color w:val="000000"/>
          <w:sz w:val="20"/>
        </w:rPr>
      </w:pPr>
      <w:r w:rsidRPr="002A5492">
        <w:rPr>
          <w:rFonts w:ascii="Arial" w:hAnsi="Arial"/>
          <w:color w:val="000000"/>
          <w:sz w:val="20"/>
        </w:rPr>
        <w:t>&lt;&lt;Total Materials Cost Description (Servicing Currency)&gt;&gt;</w:t>
      </w:r>
    </w:p>
    <w:p w:rsidR="00B67423" w:rsidRDefault="00B67423" w:rsidP="002025EA"/>
    <w:p w:rsidR="00B67423" w:rsidRDefault="00B67423" w:rsidP="002025EA"/>
    <w:p w:rsidR="002025EA" w:rsidRDefault="002025EA" w:rsidP="00243999"/>
    <w:p w:rsidR="002025EA" w:rsidRDefault="002025EA" w:rsidP="00243999"/>
    <w:p w:rsidR="0026418B" w:rsidRDefault="0026418B" w:rsidP="00243999"/>
    <w:p w:rsidR="00715DAC" w:rsidRDefault="00715DAC" w:rsidP="00243999">
      <w:r>
        <w:t>2019-05-28 Add “Include no owned rights contracts” when adding titles</w:t>
      </w:r>
    </w:p>
    <w:p w:rsidR="00715DAC" w:rsidRDefault="00715DAC" w:rsidP="00243999"/>
    <w:p w:rsidR="00715DAC" w:rsidRDefault="00715DAC" w:rsidP="00243999"/>
    <w:p w:rsidR="0026418B" w:rsidRDefault="0026418B" w:rsidP="00243999">
      <w:r>
        <w:t xml:space="preserve">2019-05-19 add new </w:t>
      </w:r>
      <w:proofErr w:type="spellStart"/>
      <w:r>
        <w:t>mailmerge</w:t>
      </w:r>
      <w:proofErr w:type="spellEnd"/>
      <w:r>
        <w:t xml:space="preserve"> fieldnames</w:t>
      </w:r>
    </w:p>
    <w:p w:rsidR="0026418B" w:rsidRDefault="007C32AC" w:rsidP="00243999">
      <w:r w:rsidRPr="007C32AC">
        <w:t>&lt;&lt;All Title Versions&gt;&gt;</w:t>
      </w:r>
    </w:p>
    <w:p w:rsidR="0026418B" w:rsidRDefault="0026418B" w:rsidP="00243999"/>
    <w:p w:rsidR="0026418B" w:rsidRDefault="0026418B" w:rsidP="00243999"/>
    <w:p w:rsidR="00FB703E" w:rsidRDefault="00FB703E" w:rsidP="00243999">
      <w:r>
        <w:t>2019-05-19 add new title version on the fly</w:t>
      </w:r>
    </w:p>
    <w:p w:rsidR="0026418B" w:rsidRDefault="0026418B" w:rsidP="00243999"/>
    <w:p w:rsidR="0026418B" w:rsidRDefault="0026418B" w:rsidP="00243999"/>
    <w:p w:rsidR="0026418B" w:rsidRDefault="0026418B" w:rsidP="00243999"/>
    <w:p w:rsidR="00FB703E" w:rsidRDefault="00FB703E" w:rsidP="00243999"/>
    <w:p w:rsidR="00FB703E" w:rsidRDefault="00FB703E" w:rsidP="00243999"/>
    <w:p w:rsidR="00154565" w:rsidRDefault="00154565" w:rsidP="00243999">
      <w:r>
        <w:t>2019-05-17 When adding new titles or renaming titles, splash title search no longer says “#DELTED#</w:t>
      </w:r>
    </w:p>
    <w:p w:rsidR="00154565" w:rsidRDefault="00154565" w:rsidP="00243999"/>
    <w:p w:rsidR="00154565" w:rsidRDefault="00154565" w:rsidP="00243999"/>
    <w:p w:rsidR="00154565" w:rsidRDefault="00154565" w:rsidP="00243999"/>
    <w:p w:rsidR="00A46DD6" w:rsidRDefault="00A46DD6" w:rsidP="00243999">
      <w:r>
        <w:t xml:space="preserve">New server setting </w:t>
      </w:r>
      <w:r w:rsidRPr="00A46DD6">
        <w:t>"Exclude all languages when single-language territory excluded"</w:t>
      </w:r>
      <w:r>
        <w:t xml:space="preserve"> for avail reports. </w:t>
      </w:r>
    </w:p>
    <w:p w:rsidR="00A46DD6" w:rsidRDefault="00A46DD6" w:rsidP="00243999"/>
    <w:p w:rsidR="00A46DD6" w:rsidRDefault="00A46DD6" w:rsidP="00243999"/>
    <w:p w:rsidR="00281ADC" w:rsidRDefault="00281ADC" w:rsidP="00243999">
      <w:r>
        <w:t>2019-03-22</w:t>
      </w:r>
    </w:p>
    <w:p w:rsidR="00281ADC" w:rsidRDefault="00281ADC" w:rsidP="00281ADC">
      <w:pPr>
        <w:rPr>
          <w:sz w:val="22"/>
          <w:szCs w:val="22"/>
        </w:rPr>
      </w:pPr>
    </w:p>
    <w:p w:rsidR="00281ADC" w:rsidRDefault="00281ADC" w:rsidP="00281ADC">
      <w:r>
        <w:t xml:space="preserve">With the “Show payment terms unchecked”, Comet will show the NOD date and delivery date on the screen view only, not Excel. </w:t>
      </w:r>
    </w:p>
    <w:p w:rsidR="00281ADC" w:rsidRDefault="00281ADC" w:rsidP="00281ADC"/>
    <w:p w:rsidR="00281ADC" w:rsidRDefault="00281ADC" w:rsidP="00243999">
      <w:r>
        <w:rPr>
          <w:noProof/>
        </w:rPr>
        <w:drawing>
          <wp:inline distT="0" distB="0" distL="0" distR="0" wp14:anchorId="7F615678" wp14:editId="16D8AD09">
            <wp:extent cx="8169275" cy="5330825"/>
            <wp:effectExtent l="0" t="0" r="3175" b="3175"/>
            <wp:docPr id="21" name="Picture 2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69275" cy="5330825"/>
                    </a:xfrm>
                    <a:prstGeom prst="rect">
                      <a:avLst/>
                    </a:prstGeom>
                    <a:noFill/>
                    <a:ln>
                      <a:noFill/>
                    </a:ln>
                  </pic:spPr>
                </pic:pic>
              </a:graphicData>
            </a:graphic>
          </wp:inline>
        </w:drawing>
      </w:r>
    </w:p>
    <w:p w:rsidR="00281ADC" w:rsidRDefault="00281ADC" w:rsidP="00243999"/>
    <w:p w:rsidR="00281ADC" w:rsidRDefault="00281ADC" w:rsidP="00243999">
      <w:r>
        <w:rPr>
          <w:noProof/>
        </w:rPr>
        <w:drawing>
          <wp:inline distT="0" distB="0" distL="0" distR="0" wp14:anchorId="54203307" wp14:editId="5E8BC229">
            <wp:extent cx="8705850" cy="1704975"/>
            <wp:effectExtent l="0" t="0" r="0" b="9525"/>
            <wp:docPr id="22" name="Picture 2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5850" cy="1704975"/>
                    </a:xfrm>
                    <a:prstGeom prst="rect">
                      <a:avLst/>
                    </a:prstGeom>
                    <a:noFill/>
                    <a:ln>
                      <a:noFill/>
                    </a:ln>
                  </pic:spPr>
                </pic:pic>
              </a:graphicData>
            </a:graphic>
          </wp:inline>
        </w:drawing>
      </w:r>
    </w:p>
    <w:p w:rsidR="00281ADC" w:rsidRDefault="00281ADC" w:rsidP="00243999"/>
    <w:p w:rsidR="00A87404" w:rsidRDefault="00A87404" w:rsidP="00243999">
      <w:r>
        <w:t>2019-03-07</w:t>
      </w:r>
    </w:p>
    <w:p w:rsidR="00A87404" w:rsidRDefault="00A87404" w:rsidP="00243999">
      <w:r>
        <w:t>Contract Total available on Contract Search screen</w:t>
      </w:r>
    </w:p>
    <w:p w:rsidR="00A87404" w:rsidRDefault="00A87404" w:rsidP="00243999">
      <w:r>
        <w:rPr>
          <w:noProof/>
        </w:rPr>
        <w:drawing>
          <wp:inline distT="0" distB="0" distL="0" distR="0">
            <wp:extent cx="9144000" cy="2152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2152650"/>
                    </a:xfrm>
                    <a:prstGeom prst="rect">
                      <a:avLst/>
                    </a:prstGeom>
                    <a:noFill/>
                    <a:ln>
                      <a:noFill/>
                    </a:ln>
                  </pic:spPr>
                </pic:pic>
              </a:graphicData>
            </a:graphic>
          </wp:inline>
        </w:drawing>
      </w:r>
    </w:p>
    <w:p w:rsidR="00A87404" w:rsidRDefault="00A87404" w:rsidP="00243999"/>
    <w:p w:rsidR="00A87404" w:rsidRDefault="00A87404" w:rsidP="00243999"/>
    <w:p w:rsidR="005C7EE8" w:rsidRDefault="005C7EE8" w:rsidP="00243999">
      <w:r>
        <w:t xml:space="preserve">New report 297 Shows start and end date for TV rights as well as contract level start end date. </w:t>
      </w:r>
    </w:p>
    <w:p w:rsidR="005C7EE8" w:rsidRDefault="005C7EE8" w:rsidP="00243999"/>
    <w:p w:rsidR="005C7EE8" w:rsidRDefault="005C7EE8" w:rsidP="00243999"/>
    <w:p w:rsidR="00F1612A" w:rsidRDefault="00F1612A" w:rsidP="00243999">
      <w:r>
        <w:t>2019-02-26</w:t>
      </w:r>
    </w:p>
    <w:p w:rsidR="00F1612A" w:rsidRDefault="00F1612A" w:rsidP="00243999">
      <w:r>
        <w:t>Report 156 has a date range</w:t>
      </w:r>
    </w:p>
    <w:p w:rsidR="00F1612A" w:rsidRDefault="00F1612A" w:rsidP="00243999">
      <w:r>
        <w:t>Comet won’t prompt to update the exchange rates if the setting “Prompt to update exchange rates” is set to No</w:t>
      </w:r>
    </w:p>
    <w:p w:rsidR="00F1612A" w:rsidRDefault="00F1612A" w:rsidP="00243999"/>
    <w:p w:rsidR="00F1612A" w:rsidRDefault="00F1612A" w:rsidP="00243999"/>
    <w:p w:rsidR="00131D12" w:rsidRDefault="00131D12" w:rsidP="00131D12">
      <w:pPr>
        <w:rPr>
          <w:rFonts w:asciiTheme="minorHAnsi" w:hAnsiTheme="minorHAnsi" w:cstheme="minorBidi"/>
          <w:color w:val="1F497D"/>
        </w:rPr>
      </w:pPr>
      <w:r>
        <w:rPr>
          <w:rFonts w:asciiTheme="minorHAnsi" w:hAnsiTheme="minorHAnsi" w:cstheme="minorBidi"/>
          <w:color w:val="1F497D"/>
        </w:rPr>
        <w:t>2019-02-17</w:t>
      </w:r>
    </w:p>
    <w:p w:rsidR="00131D12" w:rsidRDefault="00131D12" w:rsidP="00131D12">
      <w:pPr>
        <w:rPr>
          <w:rFonts w:asciiTheme="minorHAnsi" w:hAnsiTheme="minorHAnsi" w:cstheme="minorBidi"/>
          <w:color w:val="1F497D"/>
          <w:sz w:val="22"/>
          <w:szCs w:val="22"/>
        </w:rPr>
      </w:pPr>
      <w:r>
        <w:rPr>
          <w:rFonts w:asciiTheme="minorHAnsi" w:hAnsiTheme="minorHAnsi" w:cstheme="minorBidi"/>
          <w:color w:val="1F497D"/>
        </w:rPr>
        <w:t xml:space="preserve">We have completed upgrading Comet on the </w:t>
      </w:r>
      <w:proofErr w:type="spellStart"/>
      <w:r>
        <w:rPr>
          <w:rFonts w:asciiTheme="minorHAnsi" w:hAnsiTheme="minorHAnsi" w:cstheme="minorBidi"/>
          <w:color w:val="1F497D"/>
        </w:rPr>
        <w:t>NewFilms</w:t>
      </w:r>
      <w:proofErr w:type="spellEnd"/>
      <w:r>
        <w:rPr>
          <w:rFonts w:asciiTheme="minorHAnsi" w:hAnsiTheme="minorHAnsi" w:cstheme="minorBidi"/>
          <w:color w:val="1F497D"/>
        </w:rPr>
        <w:t xml:space="preserve"> server so that you can easily copy the territories from another contract or rights group. </w:t>
      </w: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p>
    <w:p w:rsidR="00131D12" w:rsidRDefault="00131D12" w:rsidP="00131D12">
      <w:pPr>
        <w:pStyle w:val="ListParagraph"/>
        <w:numPr>
          <w:ilvl w:val="0"/>
          <w:numId w:val="48"/>
        </w:numPr>
        <w:contextualSpacing w:val="0"/>
        <w:rPr>
          <w:rFonts w:asciiTheme="minorHAnsi" w:hAnsiTheme="minorHAnsi" w:cstheme="minorBidi"/>
          <w:color w:val="1F497D"/>
        </w:rPr>
      </w:pPr>
      <w:r>
        <w:rPr>
          <w:rFonts w:asciiTheme="minorHAnsi" w:hAnsiTheme="minorHAnsi" w:cstheme="minorBidi"/>
          <w:color w:val="1F497D"/>
        </w:rPr>
        <w:t>Here, you can copy all territories from another contract in the Contract Territory setup. It also copies the language selections:</w:t>
      </w: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r>
        <w:rPr>
          <w:rFonts w:asciiTheme="minorHAnsi" w:hAnsiTheme="minorHAnsi" w:cstheme="minorBidi"/>
          <w:noProof/>
          <w:color w:val="1F497D"/>
        </w:rPr>
        <w:drawing>
          <wp:inline distT="0" distB="0" distL="0" distR="0">
            <wp:extent cx="10115550" cy="4371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15550" cy="4371975"/>
                    </a:xfrm>
                    <a:prstGeom prst="rect">
                      <a:avLst/>
                    </a:prstGeom>
                    <a:noFill/>
                    <a:ln>
                      <a:noFill/>
                    </a:ln>
                  </pic:spPr>
                </pic:pic>
              </a:graphicData>
            </a:graphic>
          </wp:inline>
        </w:drawing>
      </w: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r>
        <w:rPr>
          <w:rFonts w:asciiTheme="minorHAnsi" w:hAnsiTheme="minorHAnsi" w:cstheme="minorBidi"/>
          <w:color w:val="1F497D"/>
        </w:rPr>
        <w:t xml:space="preserve">In the Included/excluded territories by right, you can copy the included territories from either another right in the same contract, or from a right in another contract. If you want to copy from another contract, you must first go to the other contract and select the right in that contract, then return to the contract you want to copy the rights to. </w:t>
      </w: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r>
        <w:rPr>
          <w:rFonts w:asciiTheme="minorHAnsi" w:hAnsiTheme="minorHAnsi" w:cstheme="minorBidi"/>
          <w:color w:val="1F497D"/>
        </w:rPr>
        <w:t xml:space="preserve">The number selected will match the Right Category ID on the upper right as circled. In the example below, the territories from Right Category 171411 will be copied to the right category shown which </w:t>
      </w:r>
      <w:proofErr w:type="gramStart"/>
      <w:r>
        <w:rPr>
          <w:rFonts w:asciiTheme="minorHAnsi" w:hAnsiTheme="minorHAnsi" w:cstheme="minorBidi"/>
          <w:color w:val="1F497D"/>
        </w:rPr>
        <w:t>is 179099</w:t>
      </w:r>
      <w:proofErr w:type="gramEnd"/>
      <w:r>
        <w:rPr>
          <w:rFonts w:asciiTheme="minorHAnsi" w:hAnsiTheme="minorHAnsi" w:cstheme="minorBidi"/>
          <w:color w:val="1F497D"/>
        </w:rPr>
        <w:t xml:space="preserve">.  You can also enter the source Right Category ID number manually. </w:t>
      </w:r>
    </w:p>
    <w:p w:rsidR="00131D12" w:rsidRDefault="00131D12" w:rsidP="00131D12">
      <w:pPr>
        <w:rPr>
          <w:rFonts w:asciiTheme="minorHAnsi" w:hAnsiTheme="minorHAnsi" w:cstheme="minorBidi"/>
          <w:color w:val="1F497D"/>
        </w:rPr>
      </w:pPr>
    </w:p>
    <w:p w:rsidR="00131D12" w:rsidRDefault="00131D12" w:rsidP="00131D12">
      <w:pPr>
        <w:rPr>
          <w:rFonts w:asciiTheme="minorHAnsi" w:hAnsiTheme="minorHAnsi" w:cstheme="minorBidi"/>
          <w:color w:val="1F497D"/>
        </w:rPr>
      </w:pPr>
      <w:r>
        <w:rPr>
          <w:rFonts w:asciiTheme="minorHAnsi" w:hAnsiTheme="minorHAnsi" w:cstheme="minorBidi"/>
          <w:noProof/>
          <w:color w:val="1F497D"/>
        </w:rPr>
        <w:drawing>
          <wp:inline distT="0" distB="0" distL="0" distR="0">
            <wp:extent cx="9858375" cy="5600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58375" cy="5600700"/>
                    </a:xfrm>
                    <a:prstGeom prst="rect">
                      <a:avLst/>
                    </a:prstGeom>
                    <a:noFill/>
                    <a:ln>
                      <a:noFill/>
                    </a:ln>
                  </pic:spPr>
                </pic:pic>
              </a:graphicData>
            </a:graphic>
          </wp:inline>
        </w:drawing>
      </w:r>
    </w:p>
    <w:p w:rsidR="00131D12" w:rsidRDefault="00131D12" w:rsidP="00131D12">
      <w:pPr>
        <w:rPr>
          <w:rFonts w:asciiTheme="minorHAnsi" w:hAnsiTheme="minorHAnsi" w:cstheme="minorBidi"/>
          <w:color w:val="1F497D"/>
        </w:rPr>
      </w:pPr>
      <w:r>
        <w:rPr>
          <w:rFonts w:asciiTheme="minorHAnsi" w:hAnsiTheme="minorHAnsi" w:cstheme="minorBidi"/>
          <w:color w:val="1F497D"/>
        </w:rPr>
        <w:br/>
      </w:r>
    </w:p>
    <w:p w:rsidR="00131D12" w:rsidRDefault="00131D12" w:rsidP="00243999"/>
    <w:p w:rsidR="00131D12" w:rsidRDefault="00131D12" w:rsidP="00243999"/>
    <w:p w:rsidR="00131D12" w:rsidRDefault="00131D12" w:rsidP="00243999"/>
    <w:p w:rsidR="00131D12" w:rsidRDefault="00131D12" w:rsidP="00243999"/>
    <w:p w:rsidR="00A24F51" w:rsidRDefault="00A24F51" w:rsidP="00243999">
      <w:r>
        <w:t>2018-11-20</w:t>
      </w:r>
    </w:p>
    <w:p w:rsidR="00A24F51" w:rsidRDefault="00A24F51" w:rsidP="00243999">
      <w:r>
        <w:t>New checkbox to disable auto CC on conflict check reports</w:t>
      </w:r>
    </w:p>
    <w:p w:rsidR="00A24F51" w:rsidRDefault="00A24F51" w:rsidP="00243999"/>
    <w:p w:rsidR="00A24F51" w:rsidRDefault="00A24F51" w:rsidP="00243999"/>
    <w:p w:rsidR="005B68FB" w:rsidRDefault="005B68FB" w:rsidP="00243999">
      <w:r>
        <w:t>2018-05-08</w:t>
      </w:r>
    </w:p>
    <w:p w:rsidR="005B68FB" w:rsidRDefault="005B68FB" w:rsidP="00243999">
      <w:r>
        <w:t>Orders improvements</w:t>
      </w:r>
    </w:p>
    <w:p w:rsidR="005B68FB" w:rsidRDefault="005B68FB" w:rsidP="00243999">
      <w:r>
        <w:t>Better speed</w:t>
      </w:r>
    </w:p>
    <w:p w:rsidR="000F05CD" w:rsidRDefault="000F05CD" w:rsidP="00243999"/>
    <w:p w:rsidR="000F05CD" w:rsidRDefault="000F05CD" w:rsidP="00243999">
      <w:r>
        <w:t>Improvements to Contract Producer reports screen-report log-faster navigation</w:t>
      </w:r>
    </w:p>
    <w:p w:rsidR="005B68FB" w:rsidRDefault="005B68FB" w:rsidP="00243999"/>
    <w:p w:rsidR="005B68FB" w:rsidRDefault="005B68FB" w:rsidP="00243999"/>
    <w:p w:rsidR="005B68FB" w:rsidRDefault="005B68FB" w:rsidP="00243999"/>
    <w:p w:rsidR="005B68FB" w:rsidRDefault="005B68FB" w:rsidP="00243999"/>
    <w:p w:rsidR="005B68FB" w:rsidRDefault="005B68FB" w:rsidP="00243999"/>
    <w:p w:rsidR="00BD4635" w:rsidRDefault="00BD4635" w:rsidP="00243999">
      <w:r>
        <w:t>2018-02-20 Option to show holdback/option rights (non-licensed rights)</w:t>
      </w:r>
    </w:p>
    <w:p w:rsidR="00BD4635" w:rsidRDefault="00BD4635" w:rsidP="00243999">
      <w:r>
        <w:rPr>
          <w:noProof/>
        </w:rPr>
        <w:drawing>
          <wp:inline distT="0" distB="0" distL="0" distR="0">
            <wp:extent cx="4023360" cy="28346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3360" cy="2834640"/>
                    </a:xfrm>
                    <a:prstGeom prst="rect">
                      <a:avLst/>
                    </a:prstGeom>
                    <a:noFill/>
                    <a:ln>
                      <a:noFill/>
                    </a:ln>
                  </pic:spPr>
                </pic:pic>
              </a:graphicData>
            </a:graphic>
          </wp:inline>
        </w:drawing>
      </w:r>
    </w:p>
    <w:p w:rsidR="00BD4635" w:rsidRDefault="00BD4635" w:rsidP="00243999"/>
    <w:p w:rsidR="00BD4635" w:rsidRDefault="00BD4635" w:rsidP="00243999"/>
    <w:p w:rsidR="0051585E" w:rsidRDefault="0051585E" w:rsidP="00243999">
      <w:r w:rsidRPr="0051585E">
        <w:rPr>
          <w:b/>
        </w:rPr>
        <w:t>2017-08-29E</w:t>
      </w:r>
      <w:r>
        <w:t xml:space="preserve"> Support for MDB</w:t>
      </w:r>
    </w:p>
    <w:p w:rsidR="0051585E" w:rsidRDefault="0051585E" w:rsidP="00243999"/>
    <w:p w:rsidR="0051585E" w:rsidRDefault="0051585E" w:rsidP="00243999">
      <w:pPr>
        <w:rPr>
          <w:b/>
          <w:u w:val="single"/>
        </w:rPr>
      </w:pPr>
    </w:p>
    <w:p w:rsidR="006C26EB" w:rsidRPr="006C26EB" w:rsidRDefault="006C26EB" w:rsidP="00243999">
      <w:pPr>
        <w:rPr>
          <w:b/>
          <w:u w:val="single"/>
        </w:rPr>
      </w:pPr>
      <w:r w:rsidRPr="006C26EB">
        <w:rPr>
          <w:b/>
          <w:u w:val="single"/>
        </w:rPr>
        <w:t>2016-11-08</w:t>
      </w:r>
    </w:p>
    <w:p w:rsidR="006C26EB" w:rsidRDefault="006C26EB" w:rsidP="00243999">
      <w:r>
        <w:t xml:space="preserve">Improvements to the reporting requirements fields. </w:t>
      </w:r>
    </w:p>
    <w:p w:rsidR="006C26EB" w:rsidRDefault="006C26EB" w:rsidP="00243999">
      <w:r>
        <w:t xml:space="preserve">The Title is now visible in the “Screen View&lt;&gt;List” spreadsheet view. </w:t>
      </w:r>
    </w:p>
    <w:p w:rsidR="006C26EB" w:rsidRDefault="006C26EB" w:rsidP="00243999">
      <w:r>
        <w:t xml:space="preserve">The base currency license fee and contract currency license fee are visible with the contract currency. </w:t>
      </w:r>
    </w:p>
    <w:p w:rsidR="006C26EB" w:rsidRDefault="006C26EB" w:rsidP="00243999">
      <w:r>
        <w:t xml:space="preserve">Reported app crashing problem when clicking Screen View&lt;&gt;List button fixed. </w:t>
      </w:r>
    </w:p>
    <w:p w:rsidR="006C26EB" w:rsidRDefault="006C26EB" w:rsidP="00243999"/>
    <w:p w:rsidR="006C26EB" w:rsidRDefault="006C26EB" w:rsidP="00243999">
      <w:r>
        <w:rPr>
          <w:noProof/>
        </w:rPr>
        <w:drawing>
          <wp:inline distT="0" distB="0" distL="0" distR="0" wp14:anchorId="235AD082" wp14:editId="4A27439B">
            <wp:extent cx="8220075" cy="4933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0075" cy="4933950"/>
                    </a:xfrm>
                    <a:prstGeom prst="rect">
                      <a:avLst/>
                    </a:prstGeom>
                  </pic:spPr>
                </pic:pic>
              </a:graphicData>
            </a:graphic>
          </wp:inline>
        </w:drawing>
      </w:r>
    </w:p>
    <w:p w:rsidR="006C26EB" w:rsidRDefault="006C26EB" w:rsidP="00243999"/>
    <w:p w:rsidR="006C26EB" w:rsidRDefault="006C26EB" w:rsidP="00243999">
      <w:r>
        <w:rPr>
          <w:noProof/>
        </w:rPr>
        <w:drawing>
          <wp:inline distT="0" distB="0" distL="0" distR="0" wp14:anchorId="620ADA77" wp14:editId="2A499750">
            <wp:extent cx="4724400" cy="2095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4400" cy="2095500"/>
                    </a:xfrm>
                    <a:prstGeom prst="rect">
                      <a:avLst/>
                    </a:prstGeom>
                  </pic:spPr>
                </pic:pic>
              </a:graphicData>
            </a:graphic>
          </wp:inline>
        </w:drawing>
      </w:r>
    </w:p>
    <w:p w:rsidR="006C26EB" w:rsidRDefault="006C26EB" w:rsidP="00243999"/>
    <w:p w:rsidR="006C26EB" w:rsidRDefault="006C26EB" w:rsidP="00243999"/>
    <w:p w:rsidR="00122139" w:rsidRPr="00CA15C8" w:rsidRDefault="00CA15C8" w:rsidP="00243999">
      <w:pPr>
        <w:rPr>
          <w:b/>
          <w:u w:val="single"/>
        </w:rPr>
      </w:pPr>
      <w:r w:rsidRPr="00CA15C8">
        <w:rPr>
          <w:b/>
          <w:u w:val="single"/>
        </w:rPr>
        <w:t>2016-09-15</w:t>
      </w:r>
    </w:p>
    <w:p w:rsidR="00122139" w:rsidRPr="00CA15C8" w:rsidRDefault="00122139" w:rsidP="00CA15C8">
      <w:pPr>
        <w:pStyle w:val="ListParagraph"/>
        <w:numPr>
          <w:ilvl w:val="0"/>
          <w:numId w:val="47"/>
        </w:numPr>
        <w:autoSpaceDE w:val="0"/>
        <w:autoSpaceDN w:val="0"/>
        <w:adjustRightInd w:val="0"/>
        <w:rPr>
          <w:rFonts w:ascii="Arial" w:hAnsi="Arial"/>
          <w:b/>
          <w:color w:val="0000FF"/>
          <w:sz w:val="20"/>
        </w:rPr>
      </w:pPr>
      <w:r>
        <w:t xml:space="preserve">New Word contract </w:t>
      </w:r>
      <w:proofErr w:type="spellStart"/>
      <w:r>
        <w:t>mailmerge</w:t>
      </w:r>
      <w:proofErr w:type="spellEnd"/>
      <w:r>
        <w:t xml:space="preserve"> field, </w:t>
      </w:r>
      <w:r w:rsidRPr="00CA15C8">
        <w:rPr>
          <w:rFonts w:ascii="Arial" w:hAnsi="Arial"/>
          <w:b/>
          <w:color w:val="0000FF"/>
          <w:sz w:val="20"/>
        </w:rPr>
        <w:t>&lt;</w:t>
      </w:r>
      <w:r w:rsidR="009729F6" w:rsidRPr="00CA15C8">
        <w:rPr>
          <w:rFonts w:ascii="Arial" w:hAnsi="Arial"/>
          <w:b/>
          <w:color w:val="0000FF"/>
          <w:sz w:val="20"/>
        </w:rPr>
        <w:t>&lt;</w:t>
      </w:r>
      <w:r w:rsidRPr="00CA15C8">
        <w:rPr>
          <w:rFonts w:ascii="Arial" w:hAnsi="Arial"/>
          <w:b/>
          <w:color w:val="0000FF"/>
          <w:sz w:val="20"/>
        </w:rPr>
        <w:t>Titles and License Fees No Episodes&gt;</w:t>
      </w:r>
      <w:r w:rsidR="009729F6" w:rsidRPr="00CA15C8">
        <w:rPr>
          <w:rFonts w:ascii="Arial" w:hAnsi="Arial"/>
          <w:b/>
          <w:color w:val="0000FF"/>
          <w:sz w:val="20"/>
        </w:rPr>
        <w:t>&gt;</w:t>
      </w:r>
    </w:p>
    <w:p w:rsidR="009729F6" w:rsidRPr="00CA15C8" w:rsidRDefault="009729F6" w:rsidP="00CA15C8">
      <w:pPr>
        <w:pStyle w:val="ListParagraph"/>
        <w:numPr>
          <w:ilvl w:val="0"/>
          <w:numId w:val="47"/>
        </w:numPr>
        <w:autoSpaceDE w:val="0"/>
        <w:autoSpaceDN w:val="0"/>
        <w:adjustRightInd w:val="0"/>
        <w:rPr>
          <w:rFonts w:ascii="Arial" w:hAnsi="Arial"/>
          <w:b/>
          <w:color w:val="0000FF"/>
          <w:sz w:val="20"/>
        </w:rPr>
      </w:pPr>
      <w:r w:rsidRPr="00CA15C8">
        <w:rPr>
          <w:rFonts w:ascii="Arial" w:hAnsi="Arial"/>
          <w:color w:val="000000" w:themeColor="text1"/>
          <w:sz w:val="20"/>
        </w:rPr>
        <w:t xml:space="preserve">New Word contract </w:t>
      </w:r>
      <w:proofErr w:type="spellStart"/>
      <w:r w:rsidRPr="00CA15C8">
        <w:rPr>
          <w:rFonts w:ascii="Arial" w:hAnsi="Arial"/>
          <w:color w:val="000000" w:themeColor="text1"/>
          <w:sz w:val="20"/>
        </w:rPr>
        <w:t>mailmerge</w:t>
      </w:r>
      <w:proofErr w:type="spellEnd"/>
      <w:r w:rsidRPr="00CA15C8">
        <w:rPr>
          <w:rFonts w:ascii="Arial" w:hAnsi="Arial"/>
          <w:color w:val="000000" w:themeColor="text1"/>
          <w:sz w:val="20"/>
        </w:rPr>
        <w:t xml:space="preserve"> field </w:t>
      </w:r>
      <w:r w:rsidRPr="00CA15C8">
        <w:rPr>
          <w:rFonts w:ascii="Arial" w:hAnsi="Arial"/>
          <w:b/>
          <w:color w:val="0000FF"/>
          <w:sz w:val="20"/>
        </w:rPr>
        <w:t>“&lt;&lt;Title List No Episodes No Title Code&gt;&gt;</w:t>
      </w:r>
    </w:p>
    <w:p w:rsidR="00122139" w:rsidRDefault="00122139" w:rsidP="00243999"/>
    <w:p w:rsidR="00CA15C8" w:rsidRDefault="00CA15C8" w:rsidP="00CA15C8">
      <w:pPr>
        <w:pStyle w:val="ListParagraph"/>
        <w:numPr>
          <w:ilvl w:val="0"/>
          <w:numId w:val="46"/>
        </w:numPr>
      </w:pPr>
      <w:r>
        <w:t>New avail report checkbox, for “No Rights” territories, shows sub-territories where there are active rights for the cell with the caption “Exclusions”</w:t>
      </w:r>
    </w:p>
    <w:p w:rsidR="00122139" w:rsidRDefault="00122139" w:rsidP="00243999"/>
    <w:p w:rsidR="00413298" w:rsidRDefault="00413298" w:rsidP="00243999">
      <w:r>
        <w:rPr>
          <w:noProof/>
        </w:rPr>
        <w:drawing>
          <wp:inline distT="0" distB="0" distL="0" distR="0">
            <wp:extent cx="4314825" cy="2714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4825" cy="2714625"/>
                    </a:xfrm>
                    <a:prstGeom prst="rect">
                      <a:avLst/>
                    </a:prstGeom>
                    <a:noFill/>
                    <a:ln>
                      <a:noFill/>
                    </a:ln>
                  </pic:spPr>
                </pic:pic>
              </a:graphicData>
            </a:graphic>
          </wp:inline>
        </w:drawing>
      </w:r>
    </w:p>
    <w:p w:rsidR="00413298" w:rsidRDefault="00413298" w:rsidP="00243999"/>
    <w:p w:rsidR="00E542A2" w:rsidRPr="00CA15C8" w:rsidRDefault="00E542A2" w:rsidP="00243999">
      <w:pPr>
        <w:rPr>
          <w:b/>
          <w:u w:val="single"/>
        </w:rPr>
      </w:pPr>
      <w:r w:rsidRPr="00CA15C8">
        <w:rPr>
          <w:b/>
          <w:u w:val="single"/>
        </w:rPr>
        <w:t>2016-08-13B</w:t>
      </w:r>
    </w:p>
    <w:p w:rsidR="00E542A2" w:rsidRDefault="00E542A2" w:rsidP="00CA15C8">
      <w:pPr>
        <w:pStyle w:val="ListParagraph"/>
        <w:numPr>
          <w:ilvl w:val="0"/>
          <w:numId w:val="46"/>
        </w:numPr>
      </w:pPr>
      <w:r>
        <w:t>Fix to conflict check popup error “Item not found in collection”</w:t>
      </w:r>
    </w:p>
    <w:p w:rsidR="00E542A2" w:rsidRDefault="00E542A2" w:rsidP="00243999">
      <w:pPr>
        <w:rPr>
          <w:b/>
          <w:u w:val="single"/>
        </w:rPr>
      </w:pPr>
    </w:p>
    <w:p w:rsidR="00A23770" w:rsidRPr="007B6DEC" w:rsidRDefault="007B6DEC" w:rsidP="00243999">
      <w:pPr>
        <w:rPr>
          <w:b/>
          <w:u w:val="single"/>
        </w:rPr>
      </w:pPr>
      <w:r w:rsidRPr="007B6DEC">
        <w:rPr>
          <w:b/>
          <w:u w:val="single"/>
        </w:rPr>
        <w:t>2016-08-13A</w:t>
      </w:r>
    </w:p>
    <w:p w:rsidR="003720F0" w:rsidRDefault="003720F0" w:rsidP="00243999"/>
    <w:p w:rsidR="003720F0" w:rsidRDefault="003720F0" w:rsidP="003720F0">
      <w:pPr>
        <w:pStyle w:val="ListParagraph"/>
        <w:numPr>
          <w:ilvl w:val="0"/>
          <w:numId w:val="45"/>
        </w:numPr>
      </w:pPr>
      <w:r>
        <w:t>Increased capability with automated sync and interfaces between Comet and other systems</w:t>
      </w:r>
    </w:p>
    <w:p w:rsidR="00A23770" w:rsidRDefault="00A23770" w:rsidP="003720F0">
      <w:pPr>
        <w:pStyle w:val="ListParagraph"/>
        <w:numPr>
          <w:ilvl w:val="0"/>
          <w:numId w:val="45"/>
        </w:numPr>
      </w:pPr>
      <w:r>
        <w:t xml:space="preserve">New Format 1 Availability Report option to show detailed sub-rights and mediums (level 2 and 3) in the report, for both owned and sold rights. </w:t>
      </w:r>
    </w:p>
    <w:p w:rsidR="00A23770" w:rsidRDefault="00A23770" w:rsidP="00243999"/>
    <w:p w:rsidR="00A23770" w:rsidRDefault="00A23770" w:rsidP="00DD1697">
      <w:pPr>
        <w:ind w:firstLine="720"/>
      </w:pPr>
      <w:r>
        <w:t>This option is in the “Rights” tab</w:t>
      </w:r>
    </w:p>
    <w:p w:rsidR="00A23770" w:rsidRDefault="00A23770" w:rsidP="003720F0">
      <w:pPr>
        <w:ind w:left="720"/>
      </w:pPr>
      <w:r>
        <w:rPr>
          <w:noProof/>
        </w:rPr>
        <w:drawing>
          <wp:inline distT="0" distB="0" distL="0" distR="0" wp14:anchorId="672CD664" wp14:editId="178C8DBC">
            <wp:extent cx="2524125" cy="1419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4125" cy="1419225"/>
                    </a:xfrm>
                    <a:prstGeom prst="rect">
                      <a:avLst/>
                    </a:prstGeom>
                  </pic:spPr>
                </pic:pic>
              </a:graphicData>
            </a:graphic>
          </wp:inline>
        </w:drawing>
      </w:r>
    </w:p>
    <w:p w:rsidR="00A23770" w:rsidRDefault="00A23770" w:rsidP="003720F0">
      <w:pPr>
        <w:ind w:left="720"/>
      </w:pPr>
    </w:p>
    <w:p w:rsidR="00A23770" w:rsidRDefault="00A23770" w:rsidP="003720F0">
      <w:pPr>
        <w:ind w:left="720"/>
      </w:pPr>
      <w:r>
        <w:t xml:space="preserve">This option is in the “Options if </w:t>
      </w:r>
      <w:proofErr w:type="gramStart"/>
      <w:r>
        <w:t>Sold</w:t>
      </w:r>
      <w:proofErr w:type="gramEnd"/>
      <w:r>
        <w:t xml:space="preserve">” tab. </w:t>
      </w:r>
    </w:p>
    <w:p w:rsidR="00A23770" w:rsidRDefault="00A23770" w:rsidP="003720F0">
      <w:pPr>
        <w:ind w:left="720"/>
      </w:pPr>
      <w:r>
        <w:rPr>
          <w:noProof/>
        </w:rPr>
        <w:drawing>
          <wp:inline distT="0" distB="0" distL="0" distR="0" wp14:anchorId="48E78181" wp14:editId="252938FE">
            <wp:extent cx="2247900" cy="1695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47900" cy="1695450"/>
                    </a:xfrm>
                    <a:prstGeom prst="rect">
                      <a:avLst/>
                    </a:prstGeom>
                  </pic:spPr>
                </pic:pic>
              </a:graphicData>
            </a:graphic>
          </wp:inline>
        </w:drawing>
      </w:r>
    </w:p>
    <w:p w:rsidR="00A23770" w:rsidRDefault="00A23770" w:rsidP="00243999"/>
    <w:p w:rsidR="00A23770" w:rsidRDefault="00A23770" w:rsidP="00243999"/>
    <w:p w:rsidR="007F1582" w:rsidRDefault="007F1582" w:rsidP="007B6DEC">
      <w:pPr>
        <w:pStyle w:val="ListParagraph"/>
        <w:numPr>
          <w:ilvl w:val="0"/>
          <w:numId w:val="44"/>
        </w:numPr>
      </w:pPr>
      <w:r>
        <w:t xml:space="preserve">Problem fixed with system filter-when filtering on title (popup </w:t>
      </w:r>
      <w:r w:rsidR="00A23770">
        <w:t>“</w:t>
      </w:r>
      <w:r>
        <w:t>item not found in collection</w:t>
      </w:r>
      <w:r w:rsidR="00A23770">
        <w:t>”</w:t>
      </w:r>
      <w:r>
        <w:t>)</w:t>
      </w:r>
    </w:p>
    <w:p w:rsidR="007F1582" w:rsidRDefault="007F1582" w:rsidP="00243999"/>
    <w:p w:rsidR="00006710" w:rsidRDefault="006C426E" w:rsidP="007B6DEC">
      <w:pPr>
        <w:pStyle w:val="ListParagraph"/>
        <w:numPr>
          <w:ilvl w:val="0"/>
          <w:numId w:val="44"/>
        </w:numPr>
      </w:pPr>
      <w:r>
        <w:t xml:space="preserve">Reports 256, 207, 226 have an option to limit the invoices and receipts to invoice types that are marked as “Report to Producers” in the Invoice Type setup table (report 56). </w:t>
      </w:r>
    </w:p>
    <w:p w:rsidR="00896038" w:rsidRDefault="00896038" w:rsidP="00243999"/>
    <w:p w:rsidR="00896038" w:rsidRDefault="00A23770" w:rsidP="00896038">
      <w:pPr>
        <w:autoSpaceDE w:val="0"/>
        <w:autoSpaceDN w:val="0"/>
        <w:adjustRightInd w:val="0"/>
        <w:rPr>
          <w:rFonts w:ascii="Arial" w:hAnsi="Arial"/>
          <w:color w:val="31849B" w:themeColor="accent5" w:themeShade="BF"/>
          <w:sz w:val="20"/>
        </w:rPr>
      </w:pPr>
      <w:r>
        <w:rPr>
          <w:rFonts w:ascii="Arial" w:hAnsi="Arial"/>
          <w:color w:val="31849B" w:themeColor="accent5" w:themeShade="BF"/>
          <w:sz w:val="20"/>
        </w:rPr>
        <w:t>New Word Merge fields:</w:t>
      </w:r>
    </w:p>
    <w:p w:rsidR="00896038" w:rsidRDefault="00896038" w:rsidP="00896038">
      <w:pPr>
        <w:autoSpaceDE w:val="0"/>
        <w:autoSpaceDN w:val="0"/>
        <w:adjustRightInd w:val="0"/>
        <w:rPr>
          <w:rFonts w:ascii="Arial" w:hAnsi="Arial"/>
          <w:color w:val="31849B" w:themeColor="accent5" w:themeShade="BF"/>
          <w:sz w:val="20"/>
        </w:rPr>
      </w:pPr>
    </w:p>
    <w:p w:rsidR="00896038" w:rsidRPr="00A23770" w:rsidRDefault="00896038" w:rsidP="00A23770">
      <w:pPr>
        <w:pStyle w:val="ListParagraph"/>
        <w:numPr>
          <w:ilvl w:val="0"/>
          <w:numId w:val="43"/>
        </w:numPr>
        <w:rPr>
          <w:rFonts w:ascii="Arial" w:hAnsi="Arial"/>
          <w:sz w:val="20"/>
        </w:rPr>
      </w:pPr>
      <w:r w:rsidRPr="00A23770">
        <w:rPr>
          <w:rFonts w:ascii="Arial" w:hAnsi="Arial"/>
          <w:sz w:val="20"/>
        </w:rPr>
        <w:t>&lt;&lt;Exclusions by Right Category&gt;&gt; (lists exclusions by right category if any)</w:t>
      </w:r>
    </w:p>
    <w:p w:rsidR="00896038" w:rsidRPr="00896038" w:rsidRDefault="00896038" w:rsidP="00896038">
      <w:pPr>
        <w:rPr>
          <w:rFonts w:ascii="Arial" w:hAnsi="Arial"/>
          <w:sz w:val="20"/>
        </w:rPr>
      </w:pPr>
    </w:p>
    <w:p w:rsidR="00896038" w:rsidRDefault="00896038" w:rsidP="00A23770">
      <w:pPr>
        <w:pStyle w:val="ListParagraph"/>
        <w:numPr>
          <w:ilvl w:val="0"/>
          <w:numId w:val="43"/>
        </w:numPr>
        <w:rPr>
          <w:rFonts w:ascii="Arial" w:hAnsi="Arial"/>
          <w:sz w:val="20"/>
        </w:rPr>
      </w:pPr>
      <w:r w:rsidRPr="00A23770">
        <w:rPr>
          <w:rFonts w:ascii="Arial" w:hAnsi="Arial"/>
          <w:sz w:val="20"/>
        </w:rPr>
        <w:t>&lt;&lt;Title List Excluding Episodes&gt;&gt; (Lists titles without showing episodes)</w:t>
      </w:r>
    </w:p>
    <w:p w:rsidR="007B6DEC" w:rsidRPr="007B6DEC" w:rsidRDefault="007B6DEC" w:rsidP="007B6DEC">
      <w:pPr>
        <w:pStyle w:val="ListParagraph"/>
        <w:rPr>
          <w:rFonts w:ascii="Arial" w:hAnsi="Arial"/>
          <w:sz w:val="20"/>
        </w:rPr>
      </w:pPr>
    </w:p>
    <w:p w:rsidR="007B6DEC" w:rsidRDefault="007B6DEC" w:rsidP="00A23770">
      <w:pPr>
        <w:pStyle w:val="ListParagraph"/>
        <w:numPr>
          <w:ilvl w:val="0"/>
          <w:numId w:val="43"/>
        </w:numPr>
        <w:rPr>
          <w:rFonts w:ascii="Arial" w:hAnsi="Arial"/>
          <w:sz w:val="20"/>
        </w:rPr>
      </w:pPr>
      <w:r>
        <w:rPr>
          <w:rFonts w:ascii="Arial" w:hAnsi="Arial"/>
          <w:sz w:val="20"/>
        </w:rPr>
        <w:t xml:space="preserve">Numerous improvements to screen design, including the Title Setup screen which had scrolling problem. </w:t>
      </w:r>
    </w:p>
    <w:p w:rsidR="007B6DEC" w:rsidRPr="007B6DEC" w:rsidRDefault="007B6DEC" w:rsidP="007B6DEC">
      <w:pPr>
        <w:pStyle w:val="ListParagraph"/>
        <w:rPr>
          <w:rFonts w:ascii="Arial" w:hAnsi="Arial"/>
          <w:sz w:val="20"/>
        </w:rPr>
      </w:pPr>
    </w:p>
    <w:p w:rsidR="007B6DEC" w:rsidRDefault="007B6DEC" w:rsidP="00A23770">
      <w:pPr>
        <w:pStyle w:val="ListParagraph"/>
        <w:numPr>
          <w:ilvl w:val="0"/>
          <w:numId w:val="43"/>
        </w:numPr>
        <w:rPr>
          <w:rFonts w:ascii="Arial" w:hAnsi="Arial"/>
          <w:sz w:val="20"/>
        </w:rPr>
      </w:pPr>
      <w:r>
        <w:rPr>
          <w:rFonts w:ascii="Arial" w:hAnsi="Arial"/>
          <w:sz w:val="20"/>
        </w:rPr>
        <w:t>Improvements to Comet Loader, updating for Office 365 and Office 2015</w:t>
      </w:r>
    </w:p>
    <w:p w:rsidR="007B6DEC" w:rsidRPr="007B6DEC" w:rsidRDefault="007B6DEC" w:rsidP="007B6DEC">
      <w:pPr>
        <w:pStyle w:val="ListParagraph"/>
        <w:rPr>
          <w:rFonts w:ascii="Arial" w:hAnsi="Arial"/>
          <w:sz w:val="20"/>
        </w:rPr>
      </w:pPr>
    </w:p>
    <w:p w:rsidR="007B6DEC" w:rsidRPr="00A23770" w:rsidRDefault="007B6DEC" w:rsidP="00A23770">
      <w:pPr>
        <w:pStyle w:val="ListParagraph"/>
        <w:numPr>
          <w:ilvl w:val="0"/>
          <w:numId w:val="43"/>
        </w:numPr>
        <w:rPr>
          <w:rFonts w:ascii="Arial" w:hAnsi="Arial"/>
          <w:sz w:val="20"/>
        </w:rPr>
      </w:pPr>
      <w:r>
        <w:rPr>
          <w:rFonts w:ascii="Arial" w:hAnsi="Arial"/>
          <w:sz w:val="20"/>
        </w:rPr>
        <w:t>Improvements to the Comet Email Client and Drop and Drag to clipboard</w:t>
      </w:r>
    </w:p>
    <w:p w:rsidR="00896038" w:rsidRDefault="00896038" w:rsidP="00243999"/>
    <w:p w:rsidR="00DD35D6" w:rsidRDefault="00DD35D6" w:rsidP="00243999">
      <w:r>
        <w:t>2016-05-25B</w:t>
      </w:r>
    </w:p>
    <w:p w:rsidR="00DD35D6" w:rsidRDefault="00DD35D6" w:rsidP="00243999">
      <w:r>
        <w:t>New Excel deal memo “TV Deal Memo Type 3”</w:t>
      </w:r>
    </w:p>
    <w:p w:rsidR="00DD35D6" w:rsidRDefault="00DD35D6" w:rsidP="00243999"/>
    <w:p w:rsidR="00004256" w:rsidRDefault="008D1208" w:rsidP="00243999">
      <w:r>
        <w:t>2016-05-23A</w:t>
      </w:r>
    </w:p>
    <w:p w:rsidR="00004256" w:rsidRDefault="00500DA3" w:rsidP="00500DA3">
      <w:pPr>
        <w:pStyle w:val="ListParagraph"/>
        <w:numPr>
          <w:ilvl w:val="0"/>
          <w:numId w:val="39"/>
        </w:numPr>
      </w:pPr>
      <w:r>
        <w:t xml:space="preserve">Numerous CRM features added to the Sales Interest Tracking module, with one-click e-mail button and drill to contact in Company Profile. </w:t>
      </w:r>
    </w:p>
    <w:p w:rsidR="008F16D0" w:rsidRDefault="00952DE8" w:rsidP="008F16D0">
      <w:r>
        <w:t xml:space="preserve">There is a one-click e-mail button, where you can click on the user and Comet will open an e-mail in Outlook with the address, subject, and link to the title screener. </w:t>
      </w:r>
    </w:p>
    <w:p w:rsidR="00952DE8" w:rsidRDefault="008F16D0" w:rsidP="00243999">
      <w:r>
        <w:rPr>
          <w:noProof/>
        </w:rPr>
        <w:drawing>
          <wp:inline distT="0" distB="0" distL="0" distR="0">
            <wp:extent cx="6334125" cy="182863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6891" cy="1838094"/>
                    </a:xfrm>
                    <a:prstGeom prst="rect">
                      <a:avLst/>
                    </a:prstGeom>
                    <a:noFill/>
                    <a:ln>
                      <a:noFill/>
                    </a:ln>
                  </pic:spPr>
                </pic:pic>
              </a:graphicData>
            </a:graphic>
          </wp:inline>
        </w:drawing>
      </w:r>
    </w:p>
    <w:p w:rsidR="00952DE8" w:rsidRDefault="00952DE8" w:rsidP="00243999"/>
    <w:p w:rsidR="00952DE8" w:rsidRDefault="00952DE8" w:rsidP="00243999">
      <w:r>
        <w:t xml:space="preserve">Here is a sample e-mail with data populated. </w:t>
      </w:r>
    </w:p>
    <w:p w:rsidR="00AB6422" w:rsidRDefault="00AB6422" w:rsidP="00243999">
      <w:r>
        <w:rPr>
          <w:noProof/>
        </w:rPr>
        <w:drawing>
          <wp:inline distT="0" distB="0" distL="0" distR="0" wp14:anchorId="00B25342" wp14:editId="1085752D">
            <wp:extent cx="5734050" cy="321393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5452" cy="3231540"/>
                    </a:xfrm>
                    <a:prstGeom prst="rect">
                      <a:avLst/>
                    </a:prstGeom>
                  </pic:spPr>
                </pic:pic>
              </a:graphicData>
            </a:graphic>
          </wp:inline>
        </w:drawing>
      </w:r>
    </w:p>
    <w:p w:rsidR="00952DE8" w:rsidRDefault="00952DE8" w:rsidP="00243999">
      <w:r>
        <w:t xml:space="preserve">The Interest tracking contacts are linked with the addresses in the Company Profile. Comet will also automatically link to existing contacts based on the name, or add all contacts in the company profile if the “Sales Address” checkbox is set ON. </w:t>
      </w:r>
    </w:p>
    <w:p w:rsidR="00952DE8" w:rsidRDefault="00952DE8" w:rsidP="00243999"/>
    <w:p w:rsidR="008F16D0" w:rsidRDefault="00952DE8" w:rsidP="00243999">
      <w:r>
        <w:rPr>
          <w:noProof/>
        </w:rPr>
        <w:drawing>
          <wp:inline distT="0" distB="0" distL="0" distR="0">
            <wp:extent cx="9144000" cy="37490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0" cy="3749040"/>
                    </a:xfrm>
                    <a:prstGeom prst="rect">
                      <a:avLst/>
                    </a:prstGeom>
                    <a:noFill/>
                    <a:ln>
                      <a:noFill/>
                    </a:ln>
                  </pic:spPr>
                </pic:pic>
              </a:graphicData>
            </a:graphic>
          </wp:inline>
        </w:drawing>
      </w:r>
    </w:p>
    <w:p w:rsidR="00E75FD9" w:rsidRDefault="00E75FD9"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p w:rsidR="00952DE8" w:rsidRDefault="00952DE8" w:rsidP="00243999">
      <w:r>
        <w:t xml:space="preserve">The source of the hyperlinks is from the Hyperlinks tab in the title setup. Links may be checked as Program View or Screener view links. It is possible to add a user name and password for program view links that gets inserted into the </w:t>
      </w:r>
      <w:r w:rsidR="00E41A69">
        <w:t xml:space="preserve">e-mail. </w:t>
      </w:r>
    </w:p>
    <w:p w:rsidR="00952DE8" w:rsidRDefault="00952DE8" w:rsidP="00243999"/>
    <w:p w:rsidR="00952DE8" w:rsidRDefault="00952DE8" w:rsidP="00243999">
      <w:r>
        <w:rPr>
          <w:noProof/>
        </w:rPr>
        <w:drawing>
          <wp:inline distT="0" distB="0" distL="0" distR="0" wp14:anchorId="0F93D93E" wp14:editId="3601D8D8">
            <wp:extent cx="8220075" cy="2552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0075" cy="2552700"/>
                    </a:xfrm>
                    <a:prstGeom prst="rect">
                      <a:avLst/>
                    </a:prstGeom>
                    <a:noFill/>
                    <a:ln>
                      <a:noFill/>
                    </a:ln>
                  </pic:spPr>
                </pic:pic>
              </a:graphicData>
            </a:graphic>
          </wp:inline>
        </w:drawing>
      </w:r>
    </w:p>
    <w:p w:rsidR="00952DE8" w:rsidRDefault="00952DE8" w:rsidP="00243999"/>
    <w:p w:rsidR="00E75FD9" w:rsidRDefault="00E75FD9" w:rsidP="00243999"/>
    <w:p w:rsidR="00004256" w:rsidRDefault="00004256" w:rsidP="00500DA3">
      <w:pPr>
        <w:pStyle w:val="ListParagraph"/>
        <w:numPr>
          <w:ilvl w:val="0"/>
          <w:numId w:val="39"/>
        </w:numPr>
      </w:pPr>
      <w:r>
        <w:t xml:space="preserve">Comet has a new function to provide a list of files in key Comet folders. Enabled for Avail reports folder, Royalty Reports, and Contracts folder. </w:t>
      </w:r>
    </w:p>
    <w:p w:rsidR="00004256" w:rsidRDefault="00004256" w:rsidP="00243999">
      <w:r>
        <w:rPr>
          <w:noProof/>
        </w:rPr>
        <w:drawing>
          <wp:inline distT="0" distB="0" distL="0" distR="0" wp14:anchorId="08E71F80" wp14:editId="415CF3EB">
            <wp:extent cx="191452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14525" cy="381000"/>
                    </a:xfrm>
                    <a:prstGeom prst="rect">
                      <a:avLst/>
                    </a:prstGeom>
                  </pic:spPr>
                </pic:pic>
              </a:graphicData>
            </a:graphic>
          </wp:inline>
        </w:drawing>
      </w:r>
    </w:p>
    <w:p w:rsidR="00004256" w:rsidRDefault="00004256" w:rsidP="00243999"/>
    <w:p w:rsidR="00543DF1" w:rsidRDefault="00543DF1" w:rsidP="00243999">
      <w:r>
        <w:t>2016-03-24B</w:t>
      </w:r>
    </w:p>
    <w:p w:rsidR="00543DF1" w:rsidRDefault="00543DF1" w:rsidP="00500DA3">
      <w:pPr>
        <w:pStyle w:val="ListParagraph"/>
        <w:numPr>
          <w:ilvl w:val="0"/>
          <w:numId w:val="40"/>
        </w:numPr>
      </w:pPr>
      <w:r>
        <w:t xml:space="preserve">Harmless popup with Comet for Office 2007 on startup fixed. </w:t>
      </w:r>
    </w:p>
    <w:p w:rsidR="00543DF1" w:rsidRDefault="000A4B5A" w:rsidP="00500DA3">
      <w:pPr>
        <w:pStyle w:val="ListParagraph"/>
        <w:numPr>
          <w:ilvl w:val="0"/>
          <w:numId w:val="40"/>
        </w:numPr>
      </w:pPr>
      <w:r>
        <w:t xml:space="preserve">When adding episodes to a contract and being prompted to check on the episodes, Comet shows the count of episodes for the title. </w:t>
      </w:r>
    </w:p>
    <w:p w:rsidR="00543DF1" w:rsidRDefault="00543DF1" w:rsidP="00243999"/>
    <w:p w:rsidR="00760ED9" w:rsidRDefault="00760ED9" w:rsidP="00243999">
      <w:r>
        <w:t>2016-03-19</w:t>
      </w:r>
    </w:p>
    <w:p w:rsidR="00445192" w:rsidRDefault="00445192" w:rsidP="00500DA3">
      <w:pPr>
        <w:pStyle w:val="ListParagraph"/>
        <w:numPr>
          <w:ilvl w:val="0"/>
          <w:numId w:val="41"/>
        </w:numPr>
      </w:pPr>
      <w:r>
        <w:t xml:space="preserve">The Producer Royalty Report shows a new column with a count of the linked expenses. </w:t>
      </w:r>
    </w:p>
    <w:p w:rsidR="00760ED9" w:rsidRDefault="00760ED9" w:rsidP="00760ED9">
      <w:pPr>
        <w:pStyle w:val="ListParagraph"/>
        <w:numPr>
          <w:ilvl w:val="0"/>
          <w:numId w:val="38"/>
        </w:numPr>
      </w:pPr>
      <w:r>
        <w:t xml:space="preserve">A new button shows the royalty reports in a list view. </w:t>
      </w:r>
    </w:p>
    <w:p w:rsidR="00760ED9" w:rsidRDefault="00760ED9" w:rsidP="00243999"/>
    <w:p w:rsidR="00760ED9" w:rsidRDefault="00760ED9" w:rsidP="00243999">
      <w:r>
        <w:rPr>
          <w:noProof/>
        </w:rPr>
        <w:drawing>
          <wp:inline distT="0" distB="0" distL="0" distR="0">
            <wp:extent cx="4744720" cy="308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4720" cy="3088005"/>
                    </a:xfrm>
                    <a:prstGeom prst="rect">
                      <a:avLst/>
                    </a:prstGeom>
                    <a:noFill/>
                    <a:ln>
                      <a:noFill/>
                    </a:ln>
                  </pic:spPr>
                </pic:pic>
              </a:graphicData>
            </a:graphic>
          </wp:inline>
        </w:drawing>
      </w:r>
    </w:p>
    <w:p w:rsidR="00760ED9" w:rsidRDefault="00760ED9" w:rsidP="00243999"/>
    <w:p w:rsidR="00760ED9" w:rsidRDefault="00760ED9" w:rsidP="00760ED9">
      <w:pPr>
        <w:pStyle w:val="ListParagraph"/>
        <w:numPr>
          <w:ilvl w:val="0"/>
          <w:numId w:val="37"/>
        </w:numPr>
      </w:pPr>
      <w:r>
        <w:t>Also, all dates on contract screen are showing as 4 digit year</w:t>
      </w:r>
    </w:p>
    <w:p w:rsidR="00760ED9" w:rsidRDefault="00760ED9" w:rsidP="00243999"/>
    <w:p w:rsidR="00760ED9" w:rsidRDefault="00760ED9" w:rsidP="00243999"/>
    <w:p w:rsidR="00855F34" w:rsidRDefault="00855F34" w:rsidP="00243999">
      <w:r>
        <w:t>2016-03-17</w:t>
      </w:r>
    </w:p>
    <w:p w:rsidR="00855F34" w:rsidRDefault="00855F34" w:rsidP="00243999"/>
    <w:p w:rsidR="00855F34" w:rsidRDefault="00855F34" w:rsidP="00243999"/>
    <w:p w:rsidR="00855F34" w:rsidRDefault="00855F34" w:rsidP="00243999">
      <w:r>
        <w:t xml:space="preserve">Comet makes it easier to create special language territories for availability reports. You can copy a non-territory language with a command button (circled) and add the language. </w:t>
      </w:r>
    </w:p>
    <w:p w:rsidR="00855F34" w:rsidRDefault="00855F34" w:rsidP="00243999"/>
    <w:p w:rsidR="00855F34" w:rsidRDefault="00855F34" w:rsidP="00243999">
      <w:r>
        <w:t xml:space="preserve">Also, any territory can be set up as a single language territory by selecting a language in the “Limit Language when running avail reports to” pulldown. </w:t>
      </w:r>
    </w:p>
    <w:p w:rsidR="00855F34" w:rsidRDefault="00855F34" w:rsidP="00243999">
      <w:r>
        <w:rPr>
          <w:noProof/>
        </w:rPr>
        <w:drawing>
          <wp:inline distT="0" distB="0" distL="0" distR="0">
            <wp:extent cx="5477510" cy="14751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7510" cy="1475105"/>
                    </a:xfrm>
                    <a:prstGeom prst="rect">
                      <a:avLst/>
                    </a:prstGeom>
                    <a:noFill/>
                    <a:ln>
                      <a:noFill/>
                    </a:ln>
                  </pic:spPr>
                </pic:pic>
              </a:graphicData>
            </a:graphic>
          </wp:inline>
        </w:drawing>
      </w:r>
    </w:p>
    <w:p w:rsidR="00855F34" w:rsidRDefault="00855F34" w:rsidP="00243999"/>
    <w:p w:rsidR="00855F34" w:rsidRDefault="00855F34" w:rsidP="00243999"/>
    <w:p w:rsidR="00855F34" w:rsidRDefault="00855F34" w:rsidP="00243999"/>
    <w:p w:rsidR="00BC013E" w:rsidRDefault="00BC013E" w:rsidP="00243999">
      <w:r>
        <w:t>2016-03-14A</w:t>
      </w:r>
    </w:p>
    <w:p w:rsidR="00BC013E" w:rsidRDefault="00BC013E" w:rsidP="00243999">
      <w:r>
        <w:t xml:space="preserve">Comet supports episodic inventory under a series title. </w:t>
      </w:r>
    </w:p>
    <w:p w:rsidR="00BC013E" w:rsidRDefault="00BC013E" w:rsidP="00243999"/>
    <w:p w:rsidR="00F5091F" w:rsidRDefault="00F5091F" w:rsidP="00243999">
      <w:r>
        <w:t>2016-03-03B</w:t>
      </w:r>
    </w:p>
    <w:p w:rsidR="00F5091F" w:rsidRDefault="00F5091F" w:rsidP="00243999"/>
    <w:p w:rsidR="00F5091F" w:rsidRDefault="00F5091F" w:rsidP="00F5091F">
      <w:pPr>
        <w:pStyle w:val="ListParagraph"/>
        <w:numPr>
          <w:ilvl w:val="0"/>
          <w:numId w:val="36"/>
        </w:numPr>
      </w:pPr>
      <w:r>
        <w:t>The availability reports indicate which contracts are 3</w:t>
      </w:r>
      <w:r w:rsidRPr="00F5091F">
        <w:rPr>
          <w:vertAlign w:val="superscript"/>
        </w:rPr>
        <w:t>rd</w:t>
      </w:r>
      <w:r>
        <w:t xml:space="preserve"> party sales. </w:t>
      </w:r>
    </w:p>
    <w:tbl>
      <w:tblPr>
        <w:tblW w:w="3460" w:type="dxa"/>
        <w:tblInd w:w="-5" w:type="dxa"/>
        <w:tblLook w:val="04A0" w:firstRow="1" w:lastRow="0" w:firstColumn="1" w:lastColumn="0" w:noHBand="0" w:noVBand="1"/>
      </w:tblPr>
      <w:tblGrid>
        <w:gridCol w:w="3460"/>
      </w:tblGrid>
      <w:tr w:rsidR="00F5091F" w:rsidTr="00F5091F">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hideMark/>
          </w:tcPr>
          <w:p w:rsidR="00F5091F" w:rsidRDefault="00F5091F">
            <w:pPr>
              <w:rPr>
                <w:rFonts w:ascii="Arial" w:hAnsi="Arial" w:cs="Arial"/>
                <w:b/>
                <w:bCs/>
                <w:sz w:val="20"/>
                <w:szCs w:val="20"/>
                <w:u w:val="single"/>
              </w:rPr>
            </w:pPr>
            <w:r>
              <w:rPr>
                <w:rFonts w:ascii="Arial" w:hAnsi="Arial" w:cs="Arial"/>
                <w:b/>
                <w:bCs/>
                <w:sz w:val="20"/>
                <w:szCs w:val="20"/>
                <w:u w:val="single"/>
              </w:rPr>
              <w:t>Video</w:t>
            </w:r>
          </w:p>
        </w:tc>
      </w:tr>
      <w:tr w:rsidR="00F5091F" w:rsidTr="00F5091F">
        <w:trPr>
          <w:trHeight w:val="1395"/>
        </w:trPr>
        <w:tc>
          <w:tcPr>
            <w:tcW w:w="3460" w:type="dxa"/>
            <w:tcBorders>
              <w:top w:val="nil"/>
              <w:left w:val="single" w:sz="4" w:space="0" w:color="auto"/>
              <w:bottom w:val="single" w:sz="4" w:space="0" w:color="auto"/>
              <w:right w:val="single" w:sz="4" w:space="0" w:color="auto"/>
            </w:tcBorders>
            <w:shd w:val="clear" w:color="000000" w:fill="FFFF00"/>
            <w:hideMark/>
          </w:tcPr>
          <w:p w:rsidR="00F5091F" w:rsidRDefault="00F5091F">
            <w:pPr>
              <w:rPr>
                <w:rFonts w:ascii="Arial" w:hAnsi="Arial" w:cs="Arial"/>
                <w:sz w:val="20"/>
                <w:szCs w:val="20"/>
              </w:rPr>
            </w:pPr>
            <w:r>
              <w:rPr>
                <w:rFonts w:ascii="Arial" w:hAnsi="Arial" w:cs="Arial"/>
                <w:sz w:val="20"/>
                <w:szCs w:val="20"/>
              </w:rPr>
              <w:t xml:space="preserve">*SOLD  (3rd Party) Acorn Intl. </w:t>
            </w:r>
            <w:r>
              <w:rPr>
                <w:rFonts w:ascii="Arial" w:hAnsi="Arial" w:cs="Arial"/>
                <w:sz w:val="20"/>
                <w:szCs w:val="20"/>
              </w:rPr>
              <w:br/>
              <w:t>-----------</w:t>
            </w:r>
            <w:r>
              <w:rPr>
                <w:rFonts w:ascii="Arial" w:hAnsi="Arial" w:cs="Arial"/>
                <w:sz w:val="20"/>
                <w:szCs w:val="20"/>
              </w:rPr>
              <w:br/>
              <w:t xml:space="preserve">Owned Rights:(THE WORLD) </w:t>
            </w:r>
            <w:r>
              <w:rPr>
                <w:rFonts w:ascii="Arial" w:hAnsi="Arial" w:cs="Arial"/>
                <w:sz w:val="20"/>
                <w:szCs w:val="20"/>
              </w:rPr>
              <w:br/>
              <w:t xml:space="preserve">Perpetuity </w:t>
            </w:r>
          </w:p>
        </w:tc>
      </w:tr>
    </w:tbl>
    <w:p w:rsidR="00F5091F" w:rsidRDefault="00F5091F" w:rsidP="00243999"/>
    <w:p w:rsidR="00F5091F" w:rsidRDefault="00F5091F" w:rsidP="00F5091F">
      <w:pPr>
        <w:pStyle w:val="ListParagraph"/>
        <w:numPr>
          <w:ilvl w:val="0"/>
          <w:numId w:val="35"/>
        </w:numPr>
      </w:pPr>
      <w:r>
        <w:t xml:space="preserve">The availability reports show availability as non-exclusive if the sold rights are available or sold exclusively, and the owned rights are also non-exclusive. </w:t>
      </w:r>
    </w:p>
    <w:p w:rsidR="00F5091F" w:rsidRDefault="00F5091F" w:rsidP="00243999"/>
    <w:p w:rsidR="00F5091F" w:rsidRDefault="00F5091F" w:rsidP="00243999"/>
    <w:p w:rsidR="00F5091F" w:rsidRDefault="00F5091F" w:rsidP="00243999"/>
    <w:p w:rsidR="007C04C4" w:rsidRDefault="00B06102" w:rsidP="00243999">
      <w:r>
        <w:t>2016-03-01A</w:t>
      </w:r>
    </w:p>
    <w:p w:rsidR="008B7E39" w:rsidRDefault="008B7E39" w:rsidP="00243999"/>
    <w:p w:rsidR="00B06102" w:rsidRDefault="00B06102" w:rsidP="008B7E39">
      <w:pPr>
        <w:pStyle w:val="ListParagraph"/>
        <w:numPr>
          <w:ilvl w:val="0"/>
          <w:numId w:val="34"/>
        </w:numPr>
      </w:pPr>
      <w:r>
        <w:t xml:space="preserve">Comet has a new availability report option as to how non-exclusive windows are shown after exclusive windows when within the “show as available” </w:t>
      </w:r>
      <w:proofErr w:type="gramStart"/>
      <w:r>
        <w:t>months</w:t>
      </w:r>
      <w:proofErr w:type="gramEnd"/>
      <w:r>
        <w:t xml:space="preserve"> window. </w:t>
      </w:r>
    </w:p>
    <w:p w:rsidR="00B06102" w:rsidRDefault="00B06102" w:rsidP="00243999">
      <w:r>
        <w:rPr>
          <w:noProof/>
        </w:rPr>
        <w:drawing>
          <wp:inline distT="0" distB="0" distL="0" distR="0">
            <wp:extent cx="5476875" cy="3095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6875" cy="3095625"/>
                    </a:xfrm>
                    <a:prstGeom prst="rect">
                      <a:avLst/>
                    </a:prstGeom>
                    <a:noFill/>
                    <a:ln>
                      <a:noFill/>
                    </a:ln>
                  </pic:spPr>
                </pic:pic>
              </a:graphicData>
            </a:graphic>
          </wp:inline>
        </w:drawing>
      </w:r>
    </w:p>
    <w:p w:rsidR="00B06102" w:rsidRDefault="00B06102" w:rsidP="00243999"/>
    <w:p w:rsidR="008B7E39" w:rsidRDefault="008B7E39">
      <w:r>
        <w:br w:type="page"/>
      </w:r>
    </w:p>
    <w:p w:rsidR="008B7E39" w:rsidRDefault="00B06102" w:rsidP="008B7E39">
      <w:pPr>
        <w:pStyle w:val="ListParagraph"/>
        <w:numPr>
          <w:ilvl w:val="0"/>
          <w:numId w:val="34"/>
        </w:numPr>
      </w:pPr>
      <w:r>
        <w:t xml:space="preserve">The Comet Orders screen allows conversion invoices to License Fee invoices. </w:t>
      </w:r>
      <w:r w:rsidR="008B7E39">
        <w:t xml:space="preserve">The total amounts by title will automatically be added to the title license fees, and any order titles not in the contract will be added. </w:t>
      </w:r>
    </w:p>
    <w:p w:rsidR="008B7E39" w:rsidRDefault="008B7E39" w:rsidP="00243999">
      <w:r>
        <w:rPr>
          <w:noProof/>
        </w:rPr>
        <w:drawing>
          <wp:inline distT="0" distB="0" distL="0" distR="0">
            <wp:extent cx="3476625" cy="553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6625" cy="5534025"/>
                    </a:xfrm>
                    <a:prstGeom prst="rect">
                      <a:avLst/>
                    </a:prstGeom>
                    <a:noFill/>
                    <a:ln>
                      <a:noFill/>
                    </a:ln>
                  </pic:spPr>
                </pic:pic>
              </a:graphicData>
            </a:graphic>
          </wp:inline>
        </w:drawing>
      </w:r>
    </w:p>
    <w:p w:rsidR="00B06102" w:rsidRDefault="00B06102" w:rsidP="00243999"/>
    <w:p w:rsidR="00B06102" w:rsidRDefault="00B06102" w:rsidP="00243999"/>
    <w:p w:rsidR="008B7E39" w:rsidRDefault="008B7E39">
      <w:r>
        <w:br w:type="page"/>
      </w:r>
    </w:p>
    <w:p w:rsidR="008B7E39" w:rsidRDefault="008B7E39" w:rsidP="008B7E39">
      <w:pPr>
        <w:pStyle w:val="ListParagraph"/>
        <w:numPr>
          <w:ilvl w:val="0"/>
          <w:numId w:val="33"/>
        </w:numPr>
      </w:pPr>
      <w:r>
        <w:t xml:space="preserve">The Comet Payment terms screen has been re-designed, and includes a count of how many terms there are for the contract. </w:t>
      </w:r>
    </w:p>
    <w:p w:rsidR="008B7E39" w:rsidRDefault="008B7E39" w:rsidP="00243999"/>
    <w:p w:rsidR="008B7E39" w:rsidRDefault="008B7E39" w:rsidP="00243999">
      <w:r>
        <w:rPr>
          <w:noProof/>
        </w:rPr>
        <w:drawing>
          <wp:inline distT="0" distB="0" distL="0" distR="0">
            <wp:extent cx="5476875" cy="1943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76875" cy="1943100"/>
                    </a:xfrm>
                    <a:prstGeom prst="rect">
                      <a:avLst/>
                    </a:prstGeom>
                    <a:noFill/>
                    <a:ln>
                      <a:noFill/>
                    </a:ln>
                  </pic:spPr>
                </pic:pic>
              </a:graphicData>
            </a:graphic>
          </wp:inline>
        </w:drawing>
      </w:r>
    </w:p>
    <w:p w:rsidR="008B7E39" w:rsidRDefault="008B7E39" w:rsidP="00243999"/>
    <w:p w:rsidR="00CE0882" w:rsidRPr="00CE0882" w:rsidRDefault="00CE0882" w:rsidP="00243999">
      <w:pPr>
        <w:rPr>
          <w:b/>
          <w:u w:val="single"/>
        </w:rPr>
      </w:pPr>
      <w:r w:rsidRPr="00CE0882">
        <w:rPr>
          <w:b/>
          <w:u w:val="single"/>
        </w:rPr>
        <w:t>2016-02-29A</w:t>
      </w:r>
    </w:p>
    <w:p w:rsidR="004B3548" w:rsidRDefault="004B3548" w:rsidP="004B3548">
      <w:pPr>
        <w:pStyle w:val="ListParagraph"/>
        <w:numPr>
          <w:ilvl w:val="0"/>
          <w:numId w:val="32"/>
        </w:numPr>
      </w:pPr>
      <w:r>
        <w:t>Significant improvements to the Orders modules, including improved interfaces to accounting systems</w:t>
      </w:r>
    </w:p>
    <w:p w:rsidR="004B3548" w:rsidRDefault="004B3548" w:rsidP="00243999"/>
    <w:p w:rsidR="004B3548" w:rsidRPr="007C04C4" w:rsidRDefault="004B3548" w:rsidP="004B3548">
      <w:pPr>
        <w:pStyle w:val="ListParagraph"/>
        <w:numPr>
          <w:ilvl w:val="0"/>
          <w:numId w:val="31"/>
        </w:numPr>
      </w:pPr>
      <w:r>
        <w:t xml:space="preserve">Significant improvements to the way Comet </w:t>
      </w:r>
      <w:r w:rsidR="00CE0882">
        <w:t>displays</w:t>
      </w:r>
      <w:r>
        <w:t xml:space="preserve"> availability if there is a non-exclusive period after an exclusive period. </w:t>
      </w:r>
    </w:p>
    <w:p w:rsidR="004B3548" w:rsidRPr="007C04C4" w:rsidRDefault="004B3548" w:rsidP="00243999"/>
    <w:p w:rsidR="00D76B35" w:rsidRDefault="00D76B35" w:rsidP="00D76B35">
      <w:pPr>
        <w:pStyle w:val="ListParagraph"/>
        <w:numPr>
          <w:ilvl w:val="0"/>
          <w:numId w:val="31"/>
        </w:numPr>
      </w:pPr>
      <w:r>
        <w:t>Harmless popup “</w:t>
      </w:r>
      <w:r w:rsidRPr="00D76B35">
        <w:t xml:space="preserve">in </w:t>
      </w:r>
      <w:proofErr w:type="spellStart"/>
      <w:r w:rsidRPr="00D76B35">
        <w:t>fncPopulate_YY_tlkpTitlesLocal</w:t>
      </w:r>
      <w:proofErr w:type="spellEnd"/>
      <w:r>
        <w:t xml:space="preserve">” fixed. </w:t>
      </w:r>
    </w:p>
    <w:p w:rsidR="00D76B35" w:rsidRDefault="00D76B35" w:rsidP="00243999"/>
    <w:p w:rsidR="007C04C4" w:rsidRDefault="007C04C4" w:rsidP="00D76B35">
      <w:pPr>
        <w:pStyle w:val="ListParagraph"/>
        <w:numPr>
          <w:ilvl w:val="0"/>
          <w:numId w:val="31"/>
        </w:numPr>
      </w:pPr>
      <w:r>
        <w:t>Popup fixed in report #141</w:t>
      </w:r>
    </w:p>
    <w:p w:rsidR="007C04C4" w:rsidRPr="007C04C4" w:rsidRDefault="007C04C4" w:rsidP="00243999"/>
    <w:p w:rsidR="007C04C4" w:rsidRDefault="007C04C4" w:rsidP="00243999">
      <w:pPr>
        <w:rPr>
          <w:b/>
          <w:u w:val="single"/>
        </w:rPr>
      </w:pPr>
    </w:p>
    <w:p w:rsidR="009C1F67" w:rsidRPr="009C1F67" w:rsidRDefault="009C1F67" w:rsidP="00243999">
      <w:pPr>
        <w:rPr>
          <w:b/>
          <w:u w:val="single"/>
        </w:rPr>
      </w:pPr>
      <w:r w:rsidRPr="009C1F67">
        <w:rPr>
          <w:b/>
          <w:u w:val="single"/>
        </w:rPr>
        <w:t>2016-01-</w:t>
      </w:r>
      <w:r w:rsidR="005A56F3">
        <w:rPr>
          <w:b/>
          <w:u w:val="single"/>
        </w:rPr>
        <w:t>1</w:t>
      </w:r>
      <w:r w:rsidR="009C57AA">
        <w:rPr>
          <w:b/>
          <w:u w:val="single"/>
        </w:rPr>
        <w:t>3</w:t>
      </w:r>
      <w:r w:rsidRPr="009C1F67">
        <w:rPr>
          <w:b/>
          <w:u w:val="single"/>
        </w:rPr>
        <w:t>C</w:t>
      </w:r>
    </w:p>
    <w:p w:rsidR="005A56F3" w:rsidRDefault="005A56F3" w:rsidP="009C1F67">
      <w:pPr>
        <w:pStyle w:val="ListParagraph"/>
        <w:numPr>
          <w:ilvl w:val="0"/>
          <w:numId w:val="30"/>
        </w:numPr>
      </w:pPr>
      <w:r>
        <w:t>Contract Search screen allows entry of part of a contract</w:t>
      </w:r>
    </w:p>
    <w:p w:rsidR="005A56F3" w:rsidRDefault="005A56F3" w:rsidP="009C1F67">
      <w:pPr>
        <w:pStyle w:val="ListParagraph"/>
        <w:numPr>
          <w:ilvl w:val="0"/>
          <w:numId w:val="30"/>
        </w:numPr>
      </w:pPr>
      <w:r>
        <w:t>Report 78 Mini screen improved</w:t>
      </w:r>
    </w:p>
    <w:p w:rsidR="009C1F67" w:rsidRDefault="009C1F67" w:rsidP="009C1F67">
      <w:pPr>
        <w:pStyle w:val="ListParagraph"/>
        <w:numPr>
          <w:ilvl w:val="0"/>
          <w:numId w:val="30"/>
        </w:numPr>
      </w:pPr>
      <w:r>
        <w:t xml:space="preserve">Various ACT buttons hidden in the Sales Interest tracking modules unless ACT is being used. </w:t>
      </w:r>
    </w:p>
    <w:p w:rsidR="00582507" w:rsidRDefault="00582507" w:rsidP="009C1F67">
      <w:pPr>
        <w:pStyle w:val="ListParagraph"/>
        <w:numPr>
          <w:ilvl w:val="0"/>
          <w:numId w:val="30"/>
        </w:numPr>
      </w:pPr>
      <w:r>
        <w:t>Option to use customer logo as splash background</w:t>
      </w:r>
    </w:p>
    <w:p w:rsidR="009C1F67" w:rsidRDefault="009C1F67" w:rsidP="00243999"/>
    <w:p w:rsidR="009C1F67" w:rsidRDefault="009C1F67" w:rsidP="009C1F67">
      <w:pPr>
        <w:pStyle w:val="ListParagraph"/>
        <w:numPr>
          <w:ilvl w:val="0"/>
          <w:numId w:val="30"/>
        </w:numPr>
      </w:pPr>
      <w:r>
        <w:t xml:space="preserve">Screen re-positioning of the Development Project module, new Rights tab added to increase text box size, reduce scrolling and reduce clutter. </w:t>
      </w:r>
    </w:p>
    <w:p w:rsidR="009C1F67" w:rsidRDefault="009C1F67" w:rsidP="009C1F67">
      <w:pPr>
        <w:pStyle w:val="ListParagraph"/>
      </w:pPr>
    </w:p>
    <w:p w:rsidR="009C1F67" w:rsidRDefault="009C1F67" w:rsidP="009C1F67">
      <w:pPr>
        <w:pStyle w:val="ListParagraph"/>
        <w:numPr>
          <w:ilvl w:val="0"/>
          <w:numId w:val="30"/>
        </w:numPr>
      </w:pPr>
      <w:r>
        <w:t>MDB trial version field name fixes</w:t>
      </w:r>
    </w:p>
    <w:p w:rsidR="005A56F3" w:rsidRDefault="005A56F3" w:rsidP="005A56F3">
      <w:pPr>
        <w:pStyle w:val="ListParagraph"/>
      </w:pPr>
    </w:p>
    <w:p w:rsidR="005A56F3" w:rsidRDefault="005A56F3" w:rsidP="009C1F67">
      <w:pPr>
        <w:pStyle w:val="ListParagraph"/>
        <w:numPr>
          <w:ilvl w:val="0"/>
          <w:numId w:val="30"/>
        </w:numPr>
      </w:pPr>
      <w:r>
        <w:t>Splash screen has a “Quick Navigation” button</w:t>
      </w:r>
    </w:p>
    <w:p w:rsidR="005A56F3" w:rsidRDefault="005A56F3" w:rsidP="005A56F3">
      <w:pPr>
        <w:pStyle w:val="ListParagraph"/>
      </w:pPr>
    </w:p>
    <w:p w:rsidR="005A56F3" w:rsidRDefault="005A56F3" w:rsidP="005A56F3">
      <w:pPr>
        <w:pStyle w:val="ListParagraph"/>
      </w:pPr>
    </w:p>
    <w:p w:rsidR="005A56F3" w:rsidRDefault="00E07784" w:rsidP="005A56F3">
      <w:pPr>
        <w:pStyle w:val="ListParagraph"/>
      </w:pPr>
      <w:r>
        <w:rPr>
          <w:noProof/>
        </w:rPr>
        <w:drawing>
          <wp:inline distT="0" distB="0" distL="0" distR="0">
            <wp:extent cx="230505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05050" cy="3343275"/>
                    </a:xfrm>
                    <a:prstGeom prst="rect">
                      <a:avLst/>
                    </a:prstGeom>
                    <a:noFill/>
                    <a:ln>
                      <a:noFill/>
                    </a:ln>
                  </pic:spPr>
                </pic:pic>
              </a:graphicData>
            </a:graphic>
          </wp:inline>
        </w:drawing>
      </w:r>
    </w:p>
    <w:p w:rsidR="005A56F3" w:rsidRDefault="005A56F3" w:rsidP="005A56F3">
      <w:pPr>
        <w:pStyle w:val="ListParagraph"/>
      </w:pPr>
    </w:p>
    <w:p w:rsidR="009C1F67" w:rsidRDefault="009C1F67" w:rsidP="00243999"/>
    <w:p w:rsidR="009C1F67" w:rsidRDefault="009C1F67" w:rsidP="00243999"/>
    <w:p w:rsidR="007401CF" w:rsidRPr="009C1F67" w:rsidRDefault="00D20AB9" w:rsidP="00243999">
      <w:pPr>
        <w:rPr>
          <w:b/>
          <w:u w:val="single"/>
        </w:rPr>
      </w:pPr>
      <w:r w:rsidRPr="009C1F67">
        <w:rPr>
          <w:b/>
          <w:u w:val="single"/>
        </w:rPr>
        <w:t>2016-01-05B</w:t>
      </w:r>
    </w:p>
    <w:p w:rsidR="00D20AB9" w:rsidRDefault="00D20AB9" w:rsidP="00243999">
      <w:r>
        <w:t xml:space="preserve">Avail format 6 (Word format)-Duplicate sheets prevented from printing. Also Comet provides warnings and information if there is no data. </w:t>
      </w:r>
    </w:p>
    <w:p w:rsidR="00D20AB9" w:rsidRDefault="00D20AB9" w:rsidP="00243999"/>
    <w:p w:rsidR="00D20AB9" w:rsidRDefault="00D20AB9" w:rsidP="00243999"/>
    <w:p w:rsidR="00D20AB9" w:rsidRDefault="00D20AB9" w:rsidP="00243999"/>
    <w:p w:rsidR="00A11E00" w:rsidRPr="007C5612" w:rsidRDefault="00A11E00" w:rsidP="00243999">
      <w:pPr>
        <w:rPr>
          <w:b/>
          <w:u w:val="single"/>
        </w:rPr>
      </w:pPr>
      <w:r w:rsidRPr="007C5612">
        <w:rPr>
          <w:b/>
          <w:u w:val="single"/>
        </w:rPr>
        <w:t>201</w:t>
      </w:r>
      <w:r w:rsidR="00EA2033" w:rsidRPr="007C5612">
        <w:rPr>
          <w:b/>
          <w:u w:val="single"/>
        </w:rPr>
        <w:t>6</w:t>
      </w:r>
      <w:r w:rsidRPr="007C5612">
        <w:rPr>
          <w:b/>
          <w:u w:val="single"/>
        </w:rPr>
        <w:t>-01-04</w:t>
      </w:r>
      <w:r w:rsidR="007C5612" w:rsidRPr="007C5612">
        <w:rPr>
          <w:b/>
          <w:u w:val="single"/>
        </w:rPr>
        <w:t>A</w:t>
      </w:r>
    </w:p>
    <w:p w:rsidR="00EA2033" w:rsidRDefault="00EA2033" w:rsidP="00243999"/>
    <w:p w:rsidR="00A11E00" w:rsidRDefault="00A11E00" w:rsidP="00EA2033">
      <w:pPr>
        <w:pStyle w:val="ListParagraph"/>
        <w:numPr>
          <w:ilvl w:val="0"/>
          <w:numId w:val="29"/>
        </w:numPr>
      </w:pPr>
      <w:r>
        <w:t>Dates in avail reports now show full 4 digit year</w:t>
      </w:r>
    </w:p>
    <w:p w:rsidR="00EA2033" w:rsidRDefault="00EA2033" w:rsidP="00243999"/>
    <w:p w:rsidR="00A11E00" w:rsidRDefault="00EA2033" w:rsidP="00EA2033">
      <w:pPr>
        <w:pStyle w:val="ListParagraph"/>
        <w:numPr>
          <w:ilvl w:val="0"/>
          <w:numId w:val="29"/>
        </w:numPr>
      </w:pPr>
      <w:r>
        <w:t>Problems with Development Module menu quick filter and report menu fixed</w:t>
      </w:r>
    </w:p>
    <w:p w:rsidR="00EA2033" w:rsidRDefault="00EA2033" w:rsidP="00EA2033">
      <w:pPr>
        <w:pStyle w:val="ListParagraph"/>
      </w:pPr>
    </w:p>
    <w:p w:rsidR="00EA2033" w:rsidRDefault="00EA2033" w:rsidP="00EA2033">
      <w:pPr>
        <w:pStyle w:val="ListParagraph"/>
        <w:numPr>
          <w:ilvl w:val="0"/>
          <w:numId w:val="29"/>
        </w:numPr>
      </w:pPr>
      <w:r>
        <w:t>Various improvements to the Comet screens, Development Module</w:t>
      </w:r>
    </w:p>
    <w:p w:rsidR="00EA2033" w:rsidRDefault="00EA2033" w:rsidP="00EA2033">
      <w:pPr>
        <w:pStyle w:val="ListParagraph"/>
      </w:pPr>
    </w:p>
    <w:p w:rsidR="00EA2033" w:rsidRDefault="00EA2033" w:rsidP="00EA2033">
      <w:pPr>
        <w:pStyle w:val="ListParagraph"/>
        <w:numPr>
          <w:ilvl w:val="0"/>
          <w:numId w:val="29"/>
        </w:numPr>
      </w:pPr>
      <w:r>
        <w:t>Many screens resized for 1366x768 “HD” resolution</w:t>
      </w:r>
    </w:p>
    <w:p w:rsidR="00EA2033" w:rsidRDefault="00EA2033" w:rsidP="00EA2033">
      <w:pPr>
        <w:pStyle w:val="ListParagraph"/>
      </w:pPr>
    </w:p>
    <w:p w:rsidR="00EA2033" w:rsidRDefault="00EA2033" w:rsidP="00EA2033">
      <w:pPr>
        <w:pStyle w:val="ListParagraph"/>
        <w:numPr>
          <w:ilvl w:val="0"/>
          <w:numId w:val="29"/>
        </w:numPr>
      </w:pPr>
      <w:r>
        <w:t>Total Hours and Broadcaster added to Contract Summary Report</w:t>
      </w:r>
    </w:p>
    <w:p w:rsidR="00DD485B" w:rsidRDefault="00DD485B" w:rsidP="00DD485B">
      <w:pPr>
        <w:pStyle w:val="ListParagraph"/>
      </w:pPr>
    </w:p>
    <w:p w:rsidR="00DD485B" w:rsidRDefault="00DD485B" w:rsidP="00EA2033">
      <w:pPr>
        <w:pStyle w:val="ListParagraph"/>
        <w:numPr>
          <w:ilvl w:val="0"/>
          <w:numId w:val="29"/>
        </w:numPr>
      </w:pPr>
      <w:r>
        <w:t xml:space="preserve">Report #248 has new option to show exclusivity details. Performance should be improved. </w:t>
      </w:r>
    </w:p>
    <w:p w:rsidR="00A11E00" w:rsidRDefault="00A11E00" w:rsidP="00243999"/>
    <w:p w:rsidR="009A2ED7" w:rsidRDefault="009A2ED7" w:rsidP="0061322F">
      <w:pPr>
        <w:rPr>
          <w:b/>
          <w:u w:val="single"/>
        </w:rPr>
      </w:pPr>
    </w:p>
    <w:p w:rsidR="001A56FD" w:rsidRDefault="001A56FD" w:rsidP="0061322F"/>
    <w:p w:rsidR="001A56FD" w:rsidRDefault="001A56FD" w:rsidP="001A56FD">
      <w:pPr>
        <w:pBdr>
          <w:bottom w:val="double" w:sz="6" w:space="1" w:color="auto"/>
        </w:pBdr>
        <w:jc w:val="center"/>
        <w:rPr>
          <w:b/>
        </w:rPr>
      </w:pPr>
      <w:r w:rsidRPr="001A56FD">
        <w:rPr>
          <w:b/>
        </w:rPr>
        <w:t>END OF 201</w:t>
      </w:r>
      <w:r w:rsidR="00ED464E">
        <w:rPr>
          <w:b/>
        </w:rPr>
        <w:t>6</w:t>
      </w:r>
      <w:r w:rsidRPr="001A56FD">
        <w:rPr>
          <w:b/>
        </w:rPr>
        <w:t xml:space="preserve"> CHANGE LOG</w:t>
      </w:r>
    </w:p>
    <w:p w:rsidR="008B7E39" w:rsidRPr="001A56FD" w:rsidRDefault="008B7E39" w:rsidP="001A56FD">
      <w:pPr>
        <w:pBdr>
          <w:bottom w:val="double" w:sz="6" w:space="1" w:color="auto"/>
        </w:pBdr>
        <w:jc w:val="center"/>
        <w:rPr>
          <w:b/>
        </w:rPr>
      </w:pPr>
      <w:r>
        <w:rPr>
          <w:b/>
        </w:rPr>
        <w:t>© Saturn Software Inc. All rights reserved</w:t>
      </w:r>
    </w:p>
    <w:p w:rsidR="001A56FD" w:rsidRDefault="001A56FD" w:rsidP="0061322F"/>
    <w:p w:rsidR="006404BF" w:rsidRDefault="006404BF" w:rsidP="0061322F"/>
    <w:p w:rsidR="009A2ED7" w:rsidRPr="009A2ED7" w:rsidRDefault="009A2ED7" w:rsidP="0061322F">
      <w:r w:rsidRPr="009A2ED7">
        <w:t>201</w:t>
      </w:r>
      <w:r w:rsidR="00ED464E">
        <w:t>5</w:t>
      </w:r>
      <w:r w:rsidRPr="009A2ED7">
        <w:t xml:space="preserve"> Change Log: </w:t>
      </w:r>
      <w:hyperlink r:id="rId33" w:history="1">
        <w:r w:rsidR="00ED464E">
          <w:rPr>
            <w:rStyle w:val="Hyperlink"/>
          </w:rPr>
          <w:t>http://www.saturnsoftwareinc.com/CometSupportFiles/CometChangeLog2015.docx</w:t>
        </w:r>
      </w:hyperlink>
      <w:r>
        <w:t xml:space="preserve"> </w:t>
      </w:r>
      <w:bookmarkStart w:id="1" w:name="_GoBack"/>
      <w:bookmarkEnd w:id="1"/>
    </w:p>
    <w:sectPr w:rsidR="009A2ED7" w:rsidRPr="009A2ED7" w:rsidSect="00952D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C65"/>
    <w:multiLevelType w:val="hybridMultilevel"/>
    <w:tmpl w:val="388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5550D"/>
    <w:multiLevelType w:val="hybridMultilevel"/>
    <w:tmpl w:val="327E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7E1B"/>
    <w:multiLevelType w:val="hybridMultilevel"/>
    <w:tmpl w:val="332C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C30ED"/>
    <w:multiLevelType w:val="hybridMultilevel"/>
    <w:tmpl w:val="467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02"/>
    <w:multiLevelType w:val="hybridMultilevel"/>
    <w:tmpl w:val="5E1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E3F5D"/>
    <w:multiLevelType w:val="hybridMultilevel"/>
    <w:tmpl w:val="1D4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4B4B"/>
    <w:multiLevelType w:val="hybridMultilevel"/>
    <w:tmpl w:val="EF6A5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858FE"/>
    <w:multiLevelType w:val="hybridMultilevel"/>
    <w:tmpl w:val="9A3C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2EA"/>
    <w:multiLevelType w:val="hybridMultilevel"/>
    <w:tmpl w:val="879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E6D3E"/>
    <w:multiLevelType w:val="hybridMultilevel"/>
    <w:tmpl w:val="4E40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16DA0"/>
    <w:multiLevelType w:val="hybridMultilevel"/>
    <w:tmpl w:val="26C4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546EE"/>
    <w:multiLevelType w:val="hybridMultilevel"/>
    <w:tmpl w:val="62F2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70E21"/>
    <w:multiLevelType w:val="hybridMultilevel"/>
    <w:tmpl w:val="71A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0149D"/>
    <w:multiLevelType w:val="hybridMultilevel"/>
    <w:tmpl w:val="E81E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92611"/>
    <w:multiLevelType w:val="hybridMultilevel"/>
    <w:tmpl w:val="075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70729"/>
    <w:multiLevelType w:val="hybridMultilevel"/>
    <w:tmpl w:val="727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855E6"/>
    <w:multiLevelType w:val="hybridMultilevel"/>
    <w:tmpl w:val="E934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4D7"/>
    <w:multiLevelType w:val="hybridMultilevel"/>
    <w:tmpl w:val="65B68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D746E"/>
    <w:multiLevelType w:val="hybridMultilevel"/>
    <w:tmpl w:val="A75C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E2689"/>
    <w:multiLevelType w:val="hybridMultilevel"/>
    <w:tmpl w:val="1D4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34C91"/>
    <w:multiLevelType w:val="hybridMultilevel"/>
    <w:tmpl w:val="1AC6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16377"/>
    <w:multiLevelType w:val="hybridMultilevel"/>
    <w:tmpl w:val="0218C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5420C9"/>
    <w:multiLevelType w:val="hybridMultilevel"/>
    <w:tmpl w:val="CB5C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C36B3F"/>
    <w:multiLevelType w:val="hybridMultilevel"/>
    <w:tmpl w:val="2448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62CB7"/>
    <w:multiLevelType w:val="hybridMultilevel"/>
    <w:tmpl w:val="20909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9D10EFE"/>
    <w:multiLevelType w:val="hybridMultilevel"/>
    <w:tmpl w:val="6DD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25B6A"/>
    <w:multiLevelType w:val="hybridMultilevel"/>
    <w:tmpl w:val="6816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E3D13"/>
    <w:multiLevelType w:val="hybridMultilevel"/>
    <w:tmpl w:val="3BF0C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36398"/>
    <w:multiLevelType w:val="hybridMultilevel"/>
    <w:tmpl w:val="FFCA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35835"/>
    <w:multiLevelType w:val="hybridMultilevel"/>
    <w:tmpl w:val="838C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12258"/>
    <w:multiLevelType w:val="hybridMultilevel"/>
    <w:tmpl w:val="7D66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173E9"/>
    <w:multiLevelType w:val="hybridMultilevel"/>
    <w:tmpl w:val="0810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3303A"/>
    <w:multiLevelType w:val="hybridMultilevel"/>
    <w:tmpl w:val="AF12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138C8"/>
    <w:multiLevelType w:val="hybridMultilevel"/>
    <w:tmpl w:val="FA62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F7E5F"/>
    <w:multiLevelType w:val="hybridMultilevel"/>
    <w:tmpl w:val="AE381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5090E"/>
    <w:multiLevelType w:val="hybridMultilevel"/>
    <w:tmpl w:val="350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070D9"/>
    <w:multiLevelType w:val="hybridMultilevel"/>
    <w:tmpl w:val="30F6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E4727"/>
    <w:multiLevelType w:val="hybridMultilevel"/>
    <w:tmpl w:val="8E96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41021"/>
    <w:multiLevelType w:val="hybridMultilevel"/>
    <w:tmpl w:val="CD32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65DC4"/>
    <w:multiLevelType w:val="hybridMultilevel"/>
    <w:tmpl w:val="B75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01390"/>
    <w:multiLevelType w:val="hybridMultilevel"/>
    <w:tmpl w:val="79B6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F6364"/>
    <w:multiLevelType w:val="hybridMultilevel"/>
    <w:tmpl w:val="79B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D4FDA"/>
    <w:multiLevelType w:val="hybridMultilevel"/>
    <w:tmpl w:val="2B444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FE6403"/>
    <w:multiLevelType w:val="hybridMultilevel"/>
    <w:tmpl w:val="0BD4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D40703"/>
    <w:multiLevelType w:val="hybridMultilevel"/>
    <w:tmpl w:val="C620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57161"/>
    <w:multiLevelType w:val="hybridMultilevel"/>
    <w:tmpl w:val="F04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2C5D36"/>
    <w:multiLevelType w:val="hybridMultilevel"/>
    <w:tmpl w:val="5208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32425"/>
    <w:multiLevelType w:val="hybridMultilevel"/>
    <w:tmpl w:val="1CD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B13D9"/>
    <w:multiLevelType w:val="hybridMultilevel"/>
    <w:tmpl w:val="053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985603"/>
    <w:multiLevelType w:val="hybridMultilevel"/>
    <w:tmpl w:val="F07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6"/>
  </w:num>
  <w:num w:numId="4">
    <w:abstractNumId w:val="48"/>
  </w:num>
  <w:num w:numId="5">
    <w:abstractNumId w:val="9"/>
  </w:num>
  <w:num w:numId="6">
    <w:abstractNumId w:val="29"/>
  </w:num>
  <w:num w:numId="7">
    <w:abstractNumId w:val="12"/>
  </w:num>
  <w:num w:numId="8">
    <w:abstractNumId w:val="0"/>
  </w:num>
  <w:num w:numId="9">
    <w:abstractNumId w:val="17"/>
  </w:num>
  <w:num w:numId="10">
    <w:abstractNumId w:val="33"/>
  </w:num>
  <w:num w:numId="11">
    <w:abstractNumId w:val="44"/>
  </w:num>
  <w:num w:numId="12">
    <w:abstractNumId w:val="3"/>
  </w:num>
  <w:num w:numId="13">
    <w:abstractNumId w:val="13"/>
  </w:num>
  <w:num w:numId="14">
    <w:abstractNumId w:val="31"/>
  </w:num>
  <w:num w:numId="15">
    <w:abstractNumId w:val="47"/>
  </w:num>
  <w:num w:numId="16">
    <w:abstractNumId w:val="42"/>
  </w:num>
  <w:num w:numId="17">
    <w:abstractNumId w:val="18"/>
  </w:num>
  <w:num w:numId="18">
    <w:abstractNumId w:val="4"/>
  </w:num>
  <w:num w:numId="19">
    <w:abstractNumId w:val="11"/>
  </w:num>
  <w:num w:numId="20">
    <w:abstractNumId w:val="8"/>
  </w:num>
  <w:num w:numId="21">
    <w:abstractNumId w:val="10"/>
  </w:num>
  <w:num w:numId="22">
    <w:abstractNumId w:val="39"/>
  </w:num>
  <w:num w:numId="23">
    <w:abstractNumId w:val="30"/>
  </w:num>
  <w:num w:numId="24">
    <w:abstractNumId w:val="14"/>
  </w:num>
  <w:num w:numId="25">
    <w:abstractNumId w:val="46"/>
  </w:num>
  <w:num w:numId="26">
    <w:abstractNumId w:val="40"/>
  </w:num>
  <w:num w:numId="27">
    <w:abstractNumId w:val="49"/>
  </w:num>
  <w:num w:numId="28">
    <w:abstractNumId w:val="45"/>
  </w:num>
  <w:num w:numId="29">
    <w:abstractNumId w:val="2"/>
  </w:num>
  <w:num w:numId="30">
    <w:abstractNumId w:val="32"/>
  </w:num>
  <w:num w:numId="31">
    <w:abstractNumId w:val="41"/>
  </w:num>
  <w:num w:numId="32">
    <w:abstractNumId w:val="28"/>
  </w:num>
  <w:num w:numId="33">
    <w:abstractNumId w:val="38"/>
  </w:num>
  <w:num w:numId="34">
    <w:abstractNumId w:val="15"/>
  </w:num>
  <w:num w:numId="35">
    <w:abstractNumId w:val="26"/>
  </w:num>
  <w:num w:numId="36">
    <w:abstractNumId w:val="35"/>
  </w:num>
  <w:num w:numId="37">
    <w:abstractNumId w:val="5"/>
  </w:num>
  <w:num w:numId="38">
    <w:abstractNumId w:val="23"/>
  </w:num>
  <w:num w:numId="39">
    <w:abstractNumId w:val="25"/>
  </w:num>
  <w:num w:numId="40">
    <w:abstractNumId w:val="16"/>
  </w:num>
  <w:num w:numId="41">
    <w:abstractNumId w:val="20"/>
  </w:num>
  <w:num w:numId="42">
    <w:abstractNumId w:val="36"/>
  </w:num>
  <w:num w:numId="43">
    <w:abstractNumId w:val="7"/>
  </w:num>
  <w:num w:numId="44">
    <w:abstractNumId w:val="19"/>
  </w:num>
  <w:num w:numId="45">
    <w:abstractNumId w:val="34"/>
  </w:num>
  <w:num w:numId="46">
    <w:abstractNumId w:val="37"/>
  </w:num>
  <w:num w:numId="47">
    <w:abstractNumId w:val="1"/>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A0"/>
    <w:rsid w:val="00001D57"/>
    <w:rsid w:val="00004256"/>
    <w:rsid w:val="00005FB9"/>
    <w:rsid w:val="00006710"/>
    <w:rsid w:val="00012714"/>
    <w:rsid w:val="000235EA"/>
    <w:rsid w:val="00024C85"/>
    <w:rsid w:val="00031551"/>
    <w:rsid w:val="000411D9"/>
    <w:rsid w:val="00041259"/>
    <w:rsid w:val="00043EC4"/>
    <w:rsid w:val="00051175"/>
    <w:rsid w:val="00075009"/>
    <w:rsid w:val="0008285D"/>
    <w:rsid w:val="0008366E"/>
    <w:rsid w:val="00097C61"/>
    <w:rsid w:val="000A0E29"/>
    <w:rsid w:val="000A2497"/>
    <w:rsid w:val="000A4B5A"/>
    <w:rsid w:val="000B032E"/>
    <w:rsid w:val="000B3262"/>
    <w:rsid w:val="000D5156"/>
    <w:rsid w:val="000E6125"/>
    <w:rsid w:val="000F052B"/>
    <w:rsid w:val="000F05CD"/>
    <w:rsid w:val="000F3871"/>
    <w:rsid w:val="00122139"/>
    <w:rsid w:val="001236D8"/>
    <w:rsid w:val="00131D12"/>
    <w:rsid w:val="001322D9"/>
    <w:rsid w:val="0013532B"/>
    <w:rsid w:val="0013754F"/>
    <w:rsid w:val="0014669E"/>
    <w:rsid w:val="00150784"/>
    <w:rsid w:val="00154565"/>
    <w:rsid w:val="00164E7B"/>
    <w:rsid w:val="001671BF"/>
    <w:rsid w:val="00170B28"/>
    <w:rsid w:val="00186F9E"/>
    <w:rsid w:val="00196B2A"/>
    <w:rsid w:val="001A13F0"/>
    <w:rsid w:val="001A1EDF"/>
    <w:rsid w:val="001A56FD"/>
    <w:rsid w:val="001A7726"/>
    <w:rsid w:val="001C0FB2"/>
    <w:rsid w:val="001C75FC"/>
    <w:rsid w:val="001D0383"/>
    <w:rsid w:val="001E2565"/>
    <w:rsid w:val="001E744D"/>
    <w:rsid w:val="002025EA"/>
    <w:rsid w:val="00202D3D"/>
    <w:rsid w:val="0020547E"/>
    <w:rsid w:val="002101C7"/>
    <w:rsid w:val="002219F8"/>
    <w:rsid w:val="002277BA"/>
    <w:rsid w:val="00235B72"/>
    <w:rsid w:val="00243999"/>
    <w:rsid w:val="00245775"/>
    <w:rsid w:val="0026418B"/>
    <w:rsid w:val="00265F4E"/>
    <w:rsid w:val="0027042B"/>
    <w:rsid w:val="0027051C"/>
    <w:rsid w:val="00274070"/>
    <w:rsid w:val="00281ADC"/>
    <w:rsid w:val="0028335D"/>
    <w:rsid w:val="00293ED2"/>
    <w:rsid w:val="00294F55"/>
    <w:rsid w:val="002A5C64"/>
    <w:rsid w:val="002A60A0"/>
    <w:rsid w:val="002E461A"/>
    <w:rsid w:val="002E49DD"/>
    <w:rsid w:val="00306560"/>
    <w:rsid w:val="003070CD"/>
    <w:rsid w:val="003256FD"/>
    <w:rsid w:val="00340693"/>
    <w:rsid w:val="00341224"/>
    <w:rsid w:val="0034195E"/>
    <w:rsid w:val="00350BE4"/>
    <w:rsid w:val="00354547"/>
    <w:rsid w:val="003720F0"/>
    <w:rsid w:val="0038404C"/>
    <w:rsid w:val="00392ABB"/>
    <w:rsid w:val="003953A9"/>
    <w:rsid w:val="003A7D85"/>
    <w:rsid w:val="003B4D79"/>
    <w:rsid w:val="003C71A6"/>
    <w:rsid w:val="003C7BC2"/>
    <w:rsid w:val="00400F5D"/>
    <w:rsid w:val="00400FBB"/>
    <w:rsid w:val="00401759"/>
    <w:rsid w:val="00413298"/>
    <w:rsid w:val="004177EB"/>
    <w:rsid w:val="0042112C"/>
    <w:rsid w:val="00445192"/>
    <w:rsid w:val="0045235A"/>
    <w:rsid w:val="00493EC4"/>
    <w:rsid w:val="004A46F6"/>
    <w:rsid w:val="004B30B8"/>
    <w:rsid w:val="004B3548"/>
    <w:rsid w:val="004B7AF9"/>
    <w:rsid w:val="004C2391"/>
    <w:rsid w:val="004C3F37"/>
    <w:rsid w:val="004C5171"/>
    <w:rsid w:val="004E799C"/>
    <w:rsid w:val="004F1C8B"/>
    <w:rsid w:val="004F49CC"/>
    <w:rsid w:val="004F4A67"/>
    <w:rsid w:val="00500DA3"/>
    <w:rsid w:val="00503F37"/>
    <w:rsid w:val="00505325"/>
    <w:rsid w:val="0051585E"/>
    <w:rsid w:val="00524CEE"/>
    <w:rsid w:val="00525DBF"/>
    <w:rsid w:val="00542263"/>
    <w:rsid w:val="00543DF1"/>
    <w:rsid w:val="00543F96"/>
    <w:rsid w:val="00573992"/>
    <w:rsid w:val="00582507"/>
    <w:rsid w:val="005A56F3"/>
    <w:rsid w:val="005B5C70"/>
    <w:rsid w:val="005B68FB"/>
    <w:rsid w:val="005C7EE8"/>
    <w:rsid w:val="005D0DC6"/>
    <w:rsid w:val="005E4202"/>
    <w:rsid w:val="005E4618"/>
    <w:rsid w:val="0061322F"/>
    <w:rsid w:val="00621337"/>
    <w:rsid w:val="006227F8"/>
    <w:rsid w:val="00622954"/>
    <w:rsid w:val="00624537"/>
    <w:rsid w:val="006360FA"/>
    <w:rsid w:val="00637060"/>
    <w:rsid w:val="006404BF"/>
    <w:rsid w:val="00642DBF"/>
    <w:rsid w:val="00643A5C"/>
    <w:rsid w:val="00647B98"/>
    <w:rsid w:val="0068226C"/>
    <w:rsid w:val="00694E69"/>
    <w:rsid w:val="006A00EC"/>
    <w:rsid w:val="006A37B4"/>
    <w:rsid w:val="006A7626"/>
    <w:rsid w:val="006C0231"/>
    <w:rsid w:val="006C26EB"/>
    <w:rsid w:val="006C426E"/>
    <w:rsid w:val="0070241D"/>
    <w:rsid w:val="00705E0E"/>
    <w:rsid w:val="00715DAC"/>
    <w:rsid w:val="0072331E"/>
    <w:rsid w:val="007401CF"/>
    <w:rsid w:val="00746F39"/>
    <w:rsid w:val="00760ED9"/>
    <w:rsid w:val="007664EC"/>
    <w:rsid w:val="00781F3C"/>
    <w:rsid w:val="00790586"/>
    <w:rsid w:val="007B6DEC"/>
    <w:rsid w:val="007C04C4"/>
    <w:rsid w:val="007C2363"/>
    <w:rsid w:val="007C32AC"/>
    <w:rsid w:val="007C5612"/>
    <w:rsid w:val="007C5A5E"/>
    <w:rsid w:val="007C77EE"/>
    <w:rsid w:val="007D2AA9"/>
    <w:rsid w:val="007D685B"/>
    <w:rsid w:val="007D6D67"/>
    <w:rsid w:val="007E2E90"/>
    <w:rsid w:val="007F1582"/>
    <w:rsid w:val="007F50EB"/>
    <w:rsid w:val="00814BB5"/>
    <w:rsid w:val="0082475F"/>
    <w:rsid w:val="00855F34"/>
    <w:rsid w:val="008659DA"/>
    <w:rsid w:val="00871215"/>
    <w:rsid w:val="00896038"/>
    <w:rsid w:val="0089650B"/>
    <w:rsid w:val="008A41B3"/>
    <w:rsid w:val="008B7E39"/>
    <w:rsid w:val="008C11A7"/>
    <w:rsid w:val="008C42C2"/>
    <w:rsid w:val="008C42C4"/>
    <w:rsid w:val="008D086A"/>
    <w:rsid w:val="008D1208"/>
    <w:rsid w:val="008D19CE"/>
    <w:rsid w:val="008D6DF5"/>
    <w:rsid w:val="008E34FE"/>
    <w:rsid w:val="008E4128"/>
    <w:rsid w:val="008F16D0"/>
    <w:rsid w:val="008F58FF"/>
    <w:rsid w:val="00912D43"/>
    <w:rsid w:val="009353C5"/>
    <w:rsid w:val="00937523"/>
    <w:rsid w:val="0094663A"/>
    <w:rsid w:val="00952DE8"/>
    <w:rsid w:val="0095696E"/>
    <w:rsid w:val="009674D4"/>
    <w:rsid w:val="009729F6"/>
    <w:rsid w:val="00985997"/>
    <w:rsid w:val="00992AD3"/>
    <w:rsid w:val="009961E3"/>
    <w:rsid w:val="00997DB4"/>
    <w:rsid w:val="009A2ED7"/>
    <w:rsid w:val="009C1F67"/>
    <w:rsid w:val="009C57AA"/>
    <w:rsid w:val="009D070E"/>
    <w:rsid w:val="009D7254"/>
    <w:rsid w:val="00A0054F"/>
    <w:rsid w:val="00A11E00"/>
    <w:rsid w:val="00A23770"/>
    <w:rsid w:val="00A2443C"/>
    <w:rsid w:val="00A24F51"/>
    <w:rsid w:val="00A41CC1"/>
    <w:rsid w:val="00A46DD6"/>
    <w:rsid w:val="00A6464B"/>
    <w:rsid w:val="00A65E35"/>
    <w:rsid w:val="00A75063"/>
    <w:rsid w:val="00A77C6D"/>
    <w:rsid w:val="00A87404"/>
    <w:rsid w:val="00A91EAD"/>
    <w:rsid w:val="00A94DB9"/>
    <w:rsid w:val="00AB6422"/>
    <w:rsid w:val="00AB715D"/>
    <w:rsid w:val="00AC0FB4"/>
    <w:rsid w:val="00AD2E78"/>
    <w:rsid w:val="00AD493A"/>
    <w:rsid w:val="00AF4429"/>
    <w:rsid w:val="00AF66E4"/>
    <w:rsid w:val="00B06102"/>
    <w:rsid w:val="00B36271"/>
    <w:rsid w:val="00B43F06"/>
    <w:rsid w:val="00B556FF"/>
    <w:rsid w:val="00B60C03"/>
    <w:rsid w:val="00B67423"/>
    <w:rsid w:val="00B766D6"/>
    <w:rsid w:val="00B82B71"/>
    <w:rsid w:val="00B869C5"/>
    <w:rsid w:val="00B87DB0"/>
    <w:rsid w:val="00B90658"/>
    <w:rsid w:val="00B91794"/>
    <w:rsid w:val="00B91C89"/>
    <w:rsid w:val="00B967C5"/>
    <w:rsid w:val="00B96DE3"/>
    <w:rsid w:val="00BB7138"/>
    <w:rsid w:val="00BB7F57"/>
    <w:rsid w:val="00BC013E"/>
    <w:rsid w:val="00BC60B5"/>
    <w:rsid w:val="00BD4635"/>
    <w:rsid w:val="00C15237"/>
    <w:rsid w:val="00C71D45"/>
    <w:rsid w:val="00C8718C"/>
    <w:rsid w:val="00C8725D"/>
    <w:rsid w:val="00C97A3D"/>
    <w:rsid w:val="00CA15C8"/>
    <w:rsid w:val="00CA5FF8"/>
    <w:rsid w:val="00CB1D19"/>
    <w:rsid w:val="00CB3E1A"/>
    <w:rsid w:val="00CE0882"/>
    <w:rsid w:val="00CE0C39"/>
    <w:rsid w:val="00CF7C61"/>
    <w:rsid w:val="00D0006C"/>
    <w:rsid w:val="00D12521"/>
    <w:rsid w:val="00D13AA0"/>
    <w:rsid w:val="00D171B4"/>
    <w:rsid w:val="00D20AB9"/>
    <w:rsid w:val="00D23920"/>
    <w:rsid w:val="00D31410"/>
    <w:rsid w:val="00D51C15"/>
    <w:rsid w:val="00D57F84"/>
    <w:rsid w:val="00D606E6"/>
    <w:rsid w:val="00D66FEC"/>
    <w:rsid w:val="00D76B35"/>
    <w:rsid w:val="00D870AD"/>
    <w:rsid w:val="00D9216B"/>
    <w:rsid w:val="00D928FC"/>
    <w:rsid w:val="00DB26B0"/>
    <w:rsid w:val="00DB3DC5"/>
    <w:rsid w:val="00DD1697"/>
    <w:rsid w:val="00DD35D6"/>
    <w:rsid w:val="00DD485B"/>
    <w:rsid w:val="00DD6AFC"/>
    <w:rsid w:val="00DE2EEF"/>
    <w:rsid w:val="00DF65A4"/>
    <w:rsid w:val="00DF7170"/>
    <w:rsid w:val="00E07784"/>
    <w:rsid w:val="00E21C75"/>
    <w:rsid w:val="00E22D6E"/>
    <w:rsid w:val="00E414F7"/>
    <w:rsid w:val="00E41A69"/>
    <w:rsid w:val="00E41B2B"/>
    <w:rsid w:val="00E43CDD"/>
    <w:rsid w:val="00E542A2"/>
    <w:rsid w:val="00E74397"/>
    <w:rsid w:val="00E75FD9"/>
    <w:rsid w:val="00E827D5"/>
    <w:rsid w:val="00E83BCB"/>
    <w:rsid w:val="00EA2033"/>
    <w:rsid w:val="00EA75EC"/>
    <w:rsid w:val="00EB0486"/>
    <w:rsid w:val="00EC7385"/>
    <w:rsid w:val="00EC78C0"/>
    <w:rsid w:val="00ED464E"/>
    <w:rsid w:val="00ED5590"/>
    <w:rsid w:val="00EE3197"/>
    <w:rsid w:val="00EE7B28"/>
    <w:rsid w:val="00F0541E"/>
    <w:rsid w:val="00F1612A"/>
    <w:rsid w:val="00F2580B"/>
    <w:rsid w:val="00F25DD7"/>
    <w:rsid w:val="00F3168B"/>
    <w:rsid w:val="00F32C35"/>
    <w:rsid w:val="00F5091F"/>
    <w:rsid w:val="00F7645D"/>
    <w:rsid w:val="00F76E37"/>
    <w:rsid w:val="00F86901"/>
    <w:rsid w:val="00FA6411"/>
    <w:rsid w:val="00FB2BE3"/>
    <w:rsid w:val="00FB65FE"/>
    <w:rsid w:val="00FB703E"/>
    <w:rsid w:val="00FC5FBB"/>
    <w:rsid w:val="00FE0E62"/>
    <w:rsid w:val="00FF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BD6597-B84C-4881-898E-4288B1ED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A60A0"/>
    <w:pPr>
      <w:keepNext/>
      <w:autoSpaceDE w:val="0"/>
      <w:autoSpaceDN w:val="0"/>
      <w:adjustRightInd w:val="0"/>
      <w:outlineLvl w:val="0"/>
    </w:pPr>
    <w:rPr>
      <w:rFonts w:ascii="Courier New"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60A0"/>
    <w:rPr>
      <w:rFonts w:ascii="Courier New" w:hAnsi="Courier New" w:cs="Courier New"/>
      <w:b/>
      <w:bCs/>
      <w:u w:val="single"/>
    </w:rPr>
  </w:style>
  <w:style w:type="paragraph" w:styleId="ListParagraph">
    <w:name w:val="List Paragraph"/>
    <w:basedOn w:val="Normal"/>
    <w:uiPriority w:val="34"/>
    <w:qFormat/>
    <w:rsid w:val="00B967C5"/>
    <w:pPr>
      <w:ind w:left="720"/>
      <w:contextualSpacing/>
    </w:pPr>
  </w:style>
  <w:style w:type="paragraph" w:styleId="BalloonText">
    <w:name w:val="Balloon Text"/>
    <w:basedOn w:val="Normal"/>
    <w:link w:val="BalloonTextChar"/>
    <w:rsid w:val="00235B72"/>
    <w:rPr>
      <w:rFonts w:ascii="Tahoma" w:hAnsi="Tahoma" w:cs="Tahoma"/>
      <w:sz w:val="16"/>
      <w:szCs w:val="16"/>
    </w:rPr>
  </w:style>
  <w:style w:type="character" w:customStyle="1" w:styleId="BalloonTextChar">
    <w:name w:val="Balloon Text Char"/>
    <w:basedOn w:val="DefaultParagraphFont"/>
    <w:link w:val="BalloonText"/>
    <w:rsid w:val="00235B72"/>
    <w:rPr>
      <w:rFonts w:ascii="Tahoma" w:hAnsi="Tahoma" w:cs="Tahoma"/>
      <w:sz w:val="16"/>
      <w:szCs w:val="16"/>
    </w:rPr>
  </w:style>
  <w:style w:type="character" w:styleId="Hyperlink">
    <w:name w:val="Hyperlink"/>
    <w:basedOn w:val="DefaultParagraphFont"/>
    <w:rsid w:val="009A2ED7"/>
    <w:rPr>
      <w:color w:val="0000FF" w:themeColor="hyperlink"/>
      <w:u w:val="single"/>
    </w:rPr>
  </w:style>
  <w:style w:type="character" w:styleId="FollowedHyperlink">
    <w:name w:val="FollowedHyperlink"/>
    <w:basedOn w:val="DefaultParagraphFont"/>
    <w:rsid w:val="00640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0662">
      <w:bodyDiv w:val="1"/>
      <w:marLeft w:val="0"/>
      <w:marRight w:val="0"/>
      <w:marTop w:val="0"/>
      <w:marBottom w:val="0"/>
      <w:divBdr>
        <w:top w:val="none" w:sz="0" w:space="0" w:color="auto"/>
        <w:left w:val="none" w:sz="0" w:space="0" w:color="auto"/>
        <w:bottom w:val="none" w:sz="0" w:space="0" w:color="auto"/>
        <w:right w:val="none" w:sz="0" w:space="0" w:color="auto"/>
      </w:divBdr>
    </w:div>
    <w:div w:id="213201595">
      <w:bodyDiv w:val="1"/>
      <w:marLeft w:val="0"/>
      <w:marRight w:val="0"/>
      <w:marTop w:val="0"/>
      <w:marBottom w:val="0"/>
      <w:divBdr>
        <w:top w:val="none" w:sz="0" w:space="0" w:color="auto"/>
        <w:left w:val="none" w:sz="0" w:space="0" w:color="auto"/>
        <w:bottom w:val="none" w:sz="0" w:space="0" w:color="auto"/>
        <w:right w:val="none" w:sz="0" w:space="0" w:color="auto"/>
      </w:divBdr>
    </w:div>
    <w:div w:id="284968782">
      <w:bodyDiv w:val="1"/>
      <w:marLeft w:val="0"/>
      <w:marRight w:val="0"/>
      <w:marTop w:val="0"/>
      <w:marBottom w:val="0"/>
      <w:divBdr>
        <w:top w:val="none" w:sz="0" w:space="0" w:color="auto"/>
        <w:left w:val="none" w:sz="0" w:space="0" w:color="auto"/>
        <w:bottom w:val="none" w:sz="0" w:space="0" w:color="auto"/>
        <w:right w:val="none" w:sz="0" w:space="0" w:color="auto"/>
      </w:divBdr>
    </w:div>
    <w:div w:id="858198087">
      <w:bodyDiv w:val="1"/>
      <w:marLeft w:val="0"/>
      <w:marRight w:val="0"/>
      <w:marTop w:val="0"/>
      <w:marBottom w:val="0"/>
      <w:divBdr>
        <w:top w:val="none" w:sz="0" w:space="0" w:color="auto"/>
        <w:left w:val="none" w:sz="0" w:space="0" w:color="auto"/>
        <w:bottom w:val="none" w:sz="0" w:space="0" w:color="auto"/>
        <w:right w:val="none" w:sz="0" w:space="0" w:color="auto"/>
      </w:divBdr>
    </w:div>
    <w:div w:id="974486624">
      <w:bodyDiv w:val="1"/>
      <w:marLeft w:val="0"/>
      <w:marRight w:val="0"/>
      <w:marTop w:val="0"/>
      <w:marBottom w:val="0"/>
      <w:divBdr>
        <w:top w:val="none" w:sz="0" w:space="0" w:color="auto"/>
        <w:left w:val="none" w:sz="0" w:space="0" w:color="auto"/>
        <w:bottom w:val="none" w:sz="0" w:space="0" w:color="auto"/>
        <w:right w:val="none" w:sz="0" w:space="0" w:color="auto"/>
      </w:divBdr>
    </w:div>
    <w:div w:id="1021589593">
      <w:bodyDiv w:val="1"/>
      <w:marLeft w:val="0"/>
      <w:marRight w:val="0"/>
      <w:marTop w:val="0"/>
      <w:marBottom w:val="0"/>
      <w:divBdr>
        <w:top w:val="none" w:sz="0" w:space="0" w:color="auto"/>
        <w:left w:val="none" w:sz="0" w:space="0" w:color="auto"/>
        <w:bottom w:val="none" w:sz="0" w:space="0" w:color="auto"/>
        <w:right w:val="none" w:sz="0" w:space="0" w:color="auto"/>
      </w:divBdr>
    </w:div>
    <w:div w:id="1165441329">
      <w:bodyDiv w:val="1"/>
      <w:marLeft w:val="0"/>
      <w:marRight w:val="0"/>
      <w:marTop w:val="0"/>
      <w:marBottom w:val="0"/>
      <w:divBdr>
        <w:top w:val="none" w:sz="0" w:space="0" w:color="auto"/>
        <w:left w:val="none" w:sz="0" w:space="0" w:color="auto"/>
        <w:bottom w:val="none" w:sz="0" w:space="0" w:color="auto"/>
        <w:right w:val="none" w:sz="0" w:space="0" w:color="auto"/>
      </w:divBdr>
    </w:div>
    <w:div w:id="1338920565">
      <w:bodyDiv w:val="1"/>
      <w:marLeft w:val="0"/>
      <w:marRight w:val="0"/>
      <w:marTop w:val="0"/>
      <w:marBottom w:val="0"/>
      <w:divBdr>
        <w:top w:val="none" w:sz="0" w:space="0" w:color="auto"/>
        <w:left w:val="none" w:sz="0" w:space="0" w:color="auto"/>
        <w:bottom w:val="none" w:sz="0" w:space="0" w:color="auto"/>
        <w:right w:val="none" w:sz="0" w:space="0" w:color="auto"/>
      </w:divBdr>
    </w:div>
    <w:div w:id="1692411416">
      <w:bodyDiv w:val="1"/>
      <w:marLeft w:val="0"/>
      <w:marRight w:val="0"/>
      <w:marTop w:val="0"/>
      <w:marBottom w:val="0"/>
      <w:divBdr>
        <w:top w:val="none" w:sz="0" w:space="0" w:color="auto"/>
        <w:left w:val="none" w:sz="0" w:space="0" w:color="auto"/>
        <w:bottom w:val="none" w:sz="0" w:space="0" w:color="auto"/>
        <w:right w:val="none" w:sz="0" w:space="0" w:color="auto"/>
      </w:divBdr>
    </w:div>
    <w:div w:id="1908028863">
      <w:bodyDiv w:val="1"/>
      <w:marLeft w:val="0"/>
      <w:marRight w:val="0"/>
      <w:marTop w:val="0"/>
      <w:marBottom w:val="0"/>
      <w:divBdr>
        <w:top w:val="none" w:sz="0" w:space="0" w:color="auto"/>
        <w:left w:val="none" w:sz="0" w:space="0" w:color="auto"/>
        <w:bottom w:val="none" w:sz="0" w:space="0" w:color="auto"/>
        <w:right w:val="none" w:sz="0" w:space="0" w:color="auto"/>
      </w:divBdr>
    </w:div>
    <w:div w:id="1965427164">
      <w:bodyDiv w:val="1"/>
      <w:marLeft w:val="0"/>
      <w:marRight w:val="0"/>
      <w:marTop w:val="0"/>
      <w:marBottom w:val="0"/>
      <w:divBdr>
        <w:top w:val="none" w:sz="0" w:space="0" w:color="auto"/>
        <w:left w:val="none" w:sz="0" w:space="0" w:color="auto"/>
        <w:bottom w:val="none" w:sz="0" w:space="0" w:color="auto"/>
        <w:right w:val="none" w:sz="0" w:space="0" w:color="auto"/>
      </w:divBdr>
    </w:div>
    <w:div w:id="19689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hyperlink" Target="http://www.saturnsoftwareinc.com/CometSupportFiles/CometChangeLog2015.docx"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10572</TotalTime>
  <Pages>1</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Saturn Software Inc.</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Schine</dc:creator>
  <cp:lastModifiedBy>Mark Schine</cp:lastModifiedBy>
  <cp:revision>89</cp:revision>
  <dcterms:created xsi:type="dcterms:W3CDTF">2016-01-04T09:18:00Z</dcterms:created>
  <dcterms:modified xsi:type="dcterms:W3CDTF">2020-01-22T13:59:00Z</dcterms:modified>
</cp:coreProperties>
</file>