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540" w14:textId="77777777" w:rsidR="00C66DF3" w:rsidRDefault="00C66DF3">
      <w:pPr>
        <w:pStyle w:val="Heading1"/>
        <w:rPr>
          <w:rFonts w:ascii="Times New Roman" w:hAnsi="Times New Roman" w:cs="Times New Roman"/>
          <w:b w:val="0"/>
          <w:sz w:val="22"/>
          <w:szCs w:val="22"/>
          <w:u w:val="none"/>
        </w:rPr>
      </w:pPr>
      <w:r>
        <w:rPr>
          <w:rFonts w:ascii="Times New Roman" w:hAnsi="Times New Roman" w:cs="Times New Roman"/>
          <w:sz w:val="22"/>
          <w:szCs w:val="22"/>
        </w:rPr>
        <w:t xml:space="preserve">Comet™ Change Log for </w:t>
      </w:r>
      <w:r w:rsidR="00356ECA">
        <w:rPr>
          <w:rFonts w:ascii="Times New Roman" w:hAnsi="Times New Roman" w:cs="Times New Roman"/>
          <w:sz w:val="22"/>
          <w:szCs w:val="22"/>
        </w:rPr>
        <w:t>2009</w:t>
      </w:r>
    </w:p>
    <w:p w14:paraId="683F0E45" w14:textId="77777777" w:rsidR="00BA3C7A" w:rsidRDefault="00BA3C7A" w:rsidP="00E568DA">
      <w:pPr>
        <w:rPr>
          <w:bCs/>
        </w:rPr>
      </w:pPr>
    </w:p>
    <w:p w14:paraId="56136BD8" w14:textId="77777777" w:rsidR="00356ECA" w:rsidRDefault="00356ECA" w:rsidP="00092C05">
      <w:pPr>
        <w:rPr>
          <w:b/>
          <w:bCs/>
          <w:u w:val="single"/>
        </w:rPr>
      </w:pPr>
      <w:r>
        <w:t xml:space="preserve">For 2010 Release notes: </w:t>
      </w:r>
      <w:hyperlink r:id="rId7" w:history="1">
        <w:r w:rsidR="001D1800">
          <w:rPr>
            <w:rStyle w:val="Hyperlink"/>
          </w:rPr>
          <w:t>http://www.saturnsoftwareinc.com/CometSupportFiles/CometChangeLog2010.doc</w:t>
        </w:r>
      </w:hyperlink>
    </w:p>
    <w:p w14:paraId="421D2432" w14:textId="77777777" w:rsidR="00356ECA" w:rsidRDefault="00356ECA" w:rsidP="00092C05">
      <w:pPr>
        <w:rPr>
          <w:b/>
          <w:bCs/>
          <w:u w:val="single"/>
        </w:rPr>
      </w:pPr>
    </w:p>
    <w:p w14:paraId="73026D20" w14:textId="77777777" w:rsidR="00092C05" w:rsidRPr="00092C05" w:rsidRDefault="00092C05" w:rsidP="00092C05">
      <w:pPr>
        <w:rPr>
          <w:b/>
          <w:bCs/>
          <w:u w:val="single"/>
        </w:rPr>
      </w:pPr>
      <w:r w:rsidRPr="00092C05">
        <w:rPr>
          <w:b/>
          <w:bCs/>
          <w:u w:val="single"/>
        </w:rPr>
        <w:t>2009-12-31</w:t>
      </w:r>
    </w:p>
    <w:p w14:paraId="3F215218" w14:textId="77777777" w:rsidR="00092C05" w:rsidRPr="00092C05" w:rsidRDefault="00092C05" w:rsidP="00E568DA">
      <w:pPr>
        <w:numPr>
          <w:ilvl w:val="0"/>
          <w:numId w:val="32"/>
        </w:numPr>
        <w:rPr>
          <w:bCs/>
        </w:rPr>
      </w:pPr>
      <w:r w:rsidRPr="00092C05">
        <w:rPr>
          <w:bCs/>
        </w:rPr>
        <w:t>New report 270</w:t>
      </w:r>
      <w:r w:rsidRPr="00092C05">
        <w:rPr>
          <w:bCs/>
          <w:sz w:val="22"/>
          <w:szCs w:val="22"/>
        </w:rPr>
        <w:t>, Owned Rights Implied Parent Territories” will list all owned rights agreements where a parent could be added.</w:t>
      </w:r>
    </w:p>
    <w:p w14:paraId="7C574B17" w14:textId="77777777" w:rsidR="00092C05" w:rsidRPr="00092C05" w:rsidRDefault="00092C05" w:rsidP="00E568DA">
      <w:pPr>
        <w:numPr>
          <w:ilvl w:val="0"/>
          <w:numId w:val="32"/>
        </w:numPr>
        <w:rPr>
          <w:bCs/>
        </w:rPr>
      </w:pPr>
      <w:r w:rsidRPr="00092C05">
        <w:rPr>
          <w:bCs/>
        </w:rPr>
        <w:t>Owned rights parent territories</w:t>
      </w:r>
      <w:r w:rsidR="002E685C">
        <w:rPr>
          <w:bCs/>
        </w:rPr>
        <w:t xml:space="preserve"> for availabilities are automatically determined. </w:t>
      </w:r>
    </w:p>
    <w:p w14:paraId="3BE8B288" w14:textId="77777777" w:rsidR="00872FCA" w:rsidRPr="003F20F9" w:rsidRDefault="00872FCA" w:rsidP="00E568DA">
      <w:pPr>
        <w:numPr>
          <w:ilvl w:val="0"/>
          <w:numId w:val="32"/>
        </w:numPr>
        <w:rPr>
          <w:b/>
          <w:bCs/>
          <w:u w:val="single"/>
        </w:rPr>
      </w:pPr>
      <w:r w:rsidRPr="003F20F9">
        <w:rPr>
          <w:bCs/>
        </w:rPr>
        <w:t xml:space="preserve">Report 145, Invoices Due with Foreign Currency Amounts has a spreadsheet output format. </w:t>
      </w:r>
    </w:p>
    <w:p w14:paraId="6915EAF0" w14:textId="77777777" w:rsidR="003F20F9" w:rsidRPr="003F20F9" w:rsidRDefault="003F20F9" w:rsidP="00E568DA">
      <w:pPr>
        <w:numPr>
          <w:ilvl w:val="0"/>
          <w:numId w:val="32"/>
        </w:numPr>
        <w:rPr>
          <w:b/>
          <w:bCs/>
          <w:u w:val="single"/>
        </w:rPr>
      </w:pPr>
      <w:r>
        <w:rPr>
          <w:bCs/>
        </w:rPr>
        <w:t xml:space="preserve">In the general reports screen, there is an option to search for reports by report name. </w:t>
      </w:r>
    </w:p>
    <w:p w14:paraId="08E2E9BC" w14:textId="77777777" w:rsidR="003F20F9" w:rsidRPr="003F20F9" w:rsidRDefault="003F20F9" w:rsidP="003F20F9">
      <w:pPr>
        <w:rPr>
          <w:b/>
          <w:bCs/>
          <w:u w:val="single"/>
        </w:rPr>
      </w:pPr>
      <w:r>
        <w:rPr>
          <w:b/>
          <w:bCs/>
          <w:u w:val="single"/>
        </w:rPr>
        <w:pict w14:anchorId="4DA5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197pt">
            <v:imagedata r:id="rId8" o:title=""/>
          </v:shape>
        </w:pict>
      </w:r>
    </w:p>
    <w:p w14:paraId="042D7E08" w14:textId="77777777" w:rsidR="00872FCA" w:rsidRPr="00D17235" w:rsidRDefault="00D17235" w:rsidP="00D17235">
      <w:pPr>
        <w:numPr>
          <w:ilvl w:val="0"/>
          <w:numId w:val="33"/>
        </w:numPr>
        <w:rPr>
          <w:bCs/>
        </w:rPr>
      </w:pPr>
      <w:r w:rsidRPr="00D17235">
        <w:rPr>
          <w:bCs/>
        </w:rPr>
        <w:t xml:space="preserve">Problem closing the rights detail entry screen </w:t>
      </w:r>
      <w:r>
        <w:rPr>
          <w:bCs/>
        </w:rPr>
        <w:t xml:space="preserve">where Comet would close the contract </w:t>
      </w:r>
      <w:r w:rsidRPr="00D17235">
        <w:rPr>
          <w:bCs/>
        </w:rPr>
        <w:t>fixed</w:t>
      </w:r>
    </w:p>
    <w:p w14:paraId="6048BD3D" w14:textId="77777777" w:rsidR="00D17235" w:rsidRDefault="00D17235" w:rsidP="00E568DA">
      <w:pPr>
        <w:rPr>
          <w:b/>
          <w:bCs/>
          <w:u w:val="single"/>
        </w:rPr>
      </w:pPr>
    </w:p>
    <w:p w14:paraId="6190C02C" w14:textId="77777777" w:rsidR="00AB6736" w:rsidRPr="00AB6736" w:rsidRDefault="00AB6736" w:rsidP="00E568DA">
      <w:pPr>
        <w:rPr>
          <w:b/>
          <w:bCs/>
          <w:u w:val="single"/>
        </w:rPr>
      </w:pPr>
      <w:r w:rsidRPr="00AB6736">
        <w:rPr>
          <w:b/>
          <w:bCs/>
          <w:u w:val="single"/>
        </w:rPr>
        <w:t>2009-12-02</w:t>
      </w:r>
    </w:p>
    <w:p w14:paraId="09295139" w14:textId="77777777" w:rsidR="00686AA9" w:rsidRDefault="00686AA9" w:rsidP="00AB6736">
      <w:pPr>
        <w:numPr>
          <w:ilvl w:val="0"/>
          <w:numId w:val="31"/>
        </w:numPr>
        <w:rPr>
          <w:bCs/>
        </w:rPr>
      </w:pPr>
      <w:r>
        <w:rPr>
          <w:bCs/>
        </w:rPr>
        <w:t>The Royalty Expense import table moved f</w:t>
      </w:r>
      <w:r w:rsidR="0028266D">
        <w:rPr>
          <w:bCs/>
        </w:rPr>
        <w:t>r</w:t>
      </w:r>
      <w:r>
        <w:rPr>
          <w:bCs/>
        </w:rPr>
        <w:t xml:space="preserve">om a local table to a server table so that original import values and results are stored </w:t>
      </w:r>
      <w:r w:rsidR="0028266D">
        <w:rPr>
          <w:bCs/>
        </w:rPr>
        <w:t>permanently</w:t>
      </w:r>
      <w:r>
        <w:rPr>
          <w:bCs/>
        </w:rPr>
        <w:t xml:space="preserve">. This also reduces the chance of importing the same expense twice since the unique ID values are stored on the server, preventing re-import. </w:t>
      </w:r>
    </w:p>
    <w:p w14:paraId="111DA724" w14:textId="77777777" w:rsidR="00686AA9" w:rsidRDefault="00686AA9" w:rsidP="0028266D">
      <w:pPr>
        <w:ind w:left="720"/>
        <w:rPr>
          <w:bCs/>
        </w:rPr>
      </w:pPr>
    </w:p>
    <w:p w14:paraId="39A1C2BB" w14:textId="77777777" w:rsidR="00AB6736" w:rsidRDefault="00AB6736" w:rsidP="00AB6736">
      <w:pPr>
        <w:numPr>
          <w:ilvl w:val="0"/>
          <w:numId w:val="31"/>
        </w:numPr>
        <w:rPr>
          <w:bCs/>
        </w:rPr>
      </w:pPr>
      <w:r>
        <w:rPr>
          <w:bCs/>
        </w:rPr>
        <w:t>Comet has built-in support for moving to a new server without changing the u</w:t>
      </w:r>
      <w:r w:rsidR="0028266D">
        <w:rPr>
          <w:bCs/>
        </w:rPr>
        <w:t>s</w:t>
      </w:r>
      <w:r>
        <w:rPr>
          <w:bCs/>
        </w:rPr>
        <w:t xml:space="preserve">er’s desktop configuration (Comet will do this automatically). </w:t>
      </w:r>
    </w:p>
    <w:p w14:paraId="0DB851AF" w14:textId="77777777" w:rsidR="00AB6736" w:rsidRDefault="00AB6736" w:rsidP="00AB6736">
      <w:pPr>
        <w:ind w:left="720"/>
        <w:rPr>
          <w:bCs/>
        </w:rPr>
      </w:pPr>
    </w:p>
    <w:p w14:paraId="73226091" w14:textId="77777777" w:rsidR="00BB6A7F" w:rsidRDefault="00BB6A7F" w:rsidP="00AB6736">
      <w:pPr>
        <w:numPr>
          <w:ilvl w:val="0"/>
          <w:numId w:val="31"/>
        </w:numPr>
        <w:rPr>
          <w:bCs/>
        </w:rPr>
      </w:pPr>
      <w:r>
        <w:rPr>
          <w:bCs/>
        </w:rPr>
        <w:t xml:space="preserve">The payment terms definitions have no length limit. Previously, they had a </w:t>
      </w:r>
      <w:proofErr w:type="gramStart"/>
      <w:r>
        <w:rPr>
          <w:bCs/>
        </w:rPr>
        <w:t>255 character</w:t>
      </w:r>
      <w:proofErr w:type="gramEnd"/>
      <w:r>
        <w:rPr>
          <w:bCs/>
        </w:rPr>
        <w:t xml:space="preserve"> limit. </w:t>
      </w:r>
    </w:p>
    <w:p w14:paraId="08DF8B26" w14:textId="77777777" w:rsidR="00AB6736" w:rsidRDefault="00AB6736" w:rsidP="00AB6736">
      <w:pPr>
        <w:ind w:left="720"/>
        <w:rPr>
          <w:bCs/>
        </w:rPr>
      </w:pPr>
    </w:p>
    <w:p w14:paraId="02E9D6A6" w14:textId="77777777" w:rsidR="00BB6A7F" w:rsidRDefault="00BB6A7F" w:rsidP="00AB6736">
      <w:pPr>
        <w:numPr>
          <w:ilvl w:val="0"/>
          <w:numId w:val="30"/>
        </w:numPr>
        <w:rPr>
          <w:bCs/>
        </w:rPr>
      </w:pPr>
      <w:r>
        <w:rPr>
          <w:bCs/>
        </w:rPr>
        <w:t xml:space="preserve">The license term </w:t>
      </w:r>
      <w:r w:rsidR="00AB6736">
        <w:rPr>
          <w:bCs/>
        </w:rPr>
        <w:t xml:space="preserve">and holdback </w:t>
      </w:r>
      <w:r>
        <w:rPr>
          <w:bCs/>
        </w:rPr>
        <w:t>event width</w:t>
      </w:r>
      <w:r w:rsidR="00AB6736">
        <w:rPr>
          <w:bCs/>
        </w:rPr>
        <w:t>s</w:t>
      </w:r>
      <w:r>
        <w:rPr>
          <w:bCs/>
        </w:rPr>
        <w:t xml:space="preserve"> </w:t>
      </w:r>
      <w:r w:rsidR="00AB6736">
        <w:rPr>
          <w:bCs/>
        </w:rPr>
        <w:t>were</w:t>
      </w:r>
      <w:r>
        <w:rPr>
          <w:bCs/>
        </w:rPr>
        <w:t xml:space="preserve"> increased to 255 characters from 100 characters. </w:t>
      </w:r>
    </w:p>
    <w:p w14:paraId="5FDC475D" w14:textId="77777777" w:rsidR="00AB6736" w:rsidRDefault="00AB6736" w:rsidP="00AB6736">
      <w:pPr>
        <w:ind w:left="720"/>
        <w:rPr>
          <w:bCs/>
        </w:rPr>
      </w:pPr>
    </w:p>
    <w:p w14:paraId="20AAA94F" w14:textId="77777777" w:rsidR="00866B23" w:rsidRDefault="00866B23" w:rsidP="00AB6736">
      <w:pPr>
        <w:numPr>
          <w:ilvl w:val="0"/>
          <w:numId w:val="29"/>
        </w:numPr>
        <w:rPr>
          <w:bCs/>
        </w:rPr>
      </w:pPr>
      <w:r>
        <w:rPr>
          <w:bCs/>
        </w:rPr>
        <w:t xml:space="preserve">Comet has a checkbox option in the availability report settings to show/hide resale window count value. </w:t>
      </w:r>
    </w:p>
    <w:p w14:paraId="4E2E031B" w14:textId="77777777" w:rsidR="00AB6736" w:rsidRDefault="00AB6736" w:rsidP="00AB6736">
      <w:pPr>
        <w:ind w:left="720"/>
        <w:rPr>
          <w:bCs/>
        </w:rPr>
      </w:pPr>
    </w:p>
    <w:p w14:paraId="563A009E" w14:textId="77777777" w:rsidR="00654BED" w:rsidRDefault="00654BED" w:rsidP="00BB6A7F">
      <w:pPr>
        <w:numPr>
          <w:ilvl w:val="0"/>
          <w:numId w:val="28"/>
        </w:numPr>
        <w:rPr>
          <w:bCs/>
        </w:rPr>
      </w:pPr>
      <w:r>
        <w:rPr>
          <w:bCs/>
        </w:rPr>
        <w:t>Comet supports sending e-mail notices through SQL server, eliminating the need to use MAPI.  To enable this,</w:t>
      </w:r>
    </w:p>
    <w:p w14:paraId="0A369720" w14:textId="77777777" w:rsidR="00654BED" w:rsidRDefault="00654BED" w:rsidP="00654BED">
      <w:pPr>
        <w:numPr>
          <w:ilvl w:val="0"/>
          <w:numId w:val="26"/>
        </w:numPr>
        <w:rPr>
          <w:bCs/>
        </w:rPr>
      </w:pPr>
      <w:r w:rsidRPr="00654BED">
        <w:rPr>
          <w:bCs/>
        </w:rPr>
        <w:t>In Comet advanced settings, set the variable “</w:t>
      </w:r>
      <w:r>
        <w:rPr>
          <w:bCs/>
        </w:rPr>
        <w:t>e-mail program” to “</w:t>
      </w:r>
      <w:proofErr w:type="spellStart"/>
      <w:r>
        <w:rPr>
          <w:bCs/>
        </w:rPr>
        <w:t>SQLDatabaseMail</w:t>
      </w:r>
      <w:proofErr w:type="spellEnd"/>
      <w:r>
        <w:rPr>
          <w:bCs/>
        </w:rPr>
        <w:t xml:space="preserve">” without the quotes. </w:t>
      </w:r>
    </w:p>
    <w:p w14:paraId="6B50656A" w14:textId="77777777" w:rsidR="00654BED" w:rsidRDefault="00654BED" w:rsidP="00654BED">
      <w:pPr>
        <w:numPr>
          <w:ilvl w:val="0"/>
          <w:numId w:val="26"/>
        </w:numPr>
        <w:rPr>
          <w:bCs/>
        </w:rPr>
      </w:pPr>
      <w:r>
        <w:rPr>
          <w:bCs/>
        </w:rPr>
        <w:t xml:space="preserve">(This step is optional).  If you have multiple </w:t>
      </w:r>
      <w:r w:rsidR="00866B23">
        <w:rPr>
          <w:bCs/>
        </w:rPr>
        <w:t xml:space="preserve">SQL </w:t>
      </w:r>
      <w:r>
        <w:rPr>
          <w:bCs/>
        </w:rPr>
        <w:t>e-mail profiles, you can specify which one Comet uses to send e-mails by adding th</w:t>
      </w:r>
      <w:r w:rsidR="00866B23">
        <w:rPr>
          <w:bCs/>
        </w:rPr>
        <w:t>e</w:t>
      </w:r>
      <w:r>
        <w:rPr>
          <w:bCs/>
        </w:rPr>
        <w:t xml:space="preserve"> variable </w:t>
      </w:r>
      <w:r w:rsidR="00866B23">
        <w:rPr>
          <w:bCs/>
        </w:rPr>
        <w:t>“</w:t>
      </w:r>
      <w:proofErr w:type="spellStart"/>
      <w:r w:rsidR="00866B23" w:rsidRPr="00654BED">
        <w:rPr>
          <w:bCs/>
        </w:rPr>
        <w:t>SQLDatabaseMailProfileName</w:t>
      </w:r>
      <w:proofErr w:type="spellEnd"/>
      <w:r w:rsidR="00866B23">
        <w:rPr>
          <w:bCs/>
        </w:rPr>
        <w:t xml:space="preserve"> “</w:t>
      </w:r>
      <w:r>
        <w:rPr>
          <w:bCs/>
        </w:rPr>
        <w:t xml:space="preserve">to the Comet advanced </w:t>
      </w:r>
      <w:proofErr w:type="gramStart"/>
      <w:r>
        <w:rPr>
          <w:bCs/>
        </w:rPr>
        <w:t>settings, and</w:t>
      </w:r>
      <w:proofErr w:type="gramEnd"/>
      <w:r>
        <w:rPr>
          <w:bCs/>
        </w:rPr>
        <w:t xml:space="preserve"> setting the value </w:t>
      </w:r>
      <w:r w:rsidR="00866B23">
        <w:rPr>
          <w:bCs/>
        </w:rPr>
        <w:t xml:space="preserve">to be one of the profiles. If this is not set, Comet will use the default profile.  If you only have one profile, that is the default profile. </w:t>
      </w:r>
    </w:p>
    <w:p w14:paraId="064F7598" w14:textId="77777777" w:rsidR="00654BED" w:rsidRDefault="00866B23" w:rsidP="00654BED">
      <w:pPr>
        <w:rPr>
          <w:bCs/>
        </w:rPr>
      </w:pPr>
      <w:r>
        <w:rPr>
          <w:bCs/>
        </w:rPr>
        <w:t xml:space="preserve">Example: </w:t>
      </w:r>
      <w:proofErr w:type="spellStart"/>
      <w:r w:rsidR="00654BED" w:rsidRPr="00654BED">
        <w:rPr>
          <w:bCs/>
        </w:rPr>
        <w:t>SQLDatabaseMailProfileName</w:t>
      </w:r>
      <w:proofErr w:type="spellEnd"/>
      <w:r w:rsidR="00654BED">
        <w:rPr>
          <w:bCs/>
        </w:rPr>
        <w:t xml:space="preserve"> = Comet SQL 2005 Database Mail Profile</w:t>
      </w:r>
    </w:p>
    <w:p w14:paraId="315EF2DB" w14:textId="77777777" w:rsidR="00654BED" w:rsidRDefault="00654BED" w:rsidP="00654BED">
      <w:pPr>
        <w:rPr>
          <w:bCs/>
        </w:rPr>
      </w:pPr>
    </w:p>
    <w:p w14:paraId="22977C99" w14:textId="77777777" w:rsidR="00654BED" w:rsidRDefault="00654BED" w:rsidP="00654BED">
      <w:pPr>
        <w:rPr>
          <w:bCs/>
        </w:rPr>
      </w:pPr>
      <w:r>
        <w:rPr>
          <w:bCs/>
        </w:rPr>
        <w:lastRenderedPageBreak/>
        <w:pict w14:anchorId="6D898857">
          <v:shape id="_x0000_i1026" type="#_x0000_t75" style="width:6in;height:205.8pt">
            <v:imagedata r:id="rId9" o:title=""/>
          </v:shape>
        </w:pict>
      </w:r>
    </w:p>
    <w:p w14:paraId="2893C689" w14:textId="77777777" w:rsidR="00654BED" w:rsidRDefault="00654BED" w:rsidP="00654BED">
      <w:pPr>
        <w:rPr>
          <w:bCs/>
        </w:rPr>
      </w:pPr>
    </w:p>
    <w:p w14:paraId="48343E26" w14:textId="77777777" w:rsidR="00654BED" w:rsidRDefault="00654BED" w:rsidP="00654BED">
      <w:pPr>
        <w:rPr>
          <w:bCs/>
        </w:rPr>
      </w:pPr>
    </w:p>
    <w:p w14:paraId="1741237B" w14:textId="77777777" w:rsidR="00654BED" w:rsidRDefault="00BB6A7F" w:rsidP="00BB6A7F">
      <w:pPr>
        <w:numPr>
          <w:ilvl w:val="0"/>
          <w:numId w:val="27"/>
        </w:numPr>
        <w:rPr>
          <w:bCs/>
        </w:rPr>
      </w:pPr>
      <w:r>
        <w:rPr>
          <w:bCs/>
        </w:rPr>
        <w:t>As a new security feature to prevent users from editing different contract types, Comet supports limiting editing contract security by contract type and title type. By going to the User setup screen, you can add all types and block different types as shown:</w:t>
      </w:r>
    </w:p>
    <w:p w14:paraId="38FAD9D6" w14:textId="77777777" w:rsidR="00BB6A7F" w:rsidRDefault="00BB6A7F" w:rsidP="00654BED">
      <w:pPr>
        <w:rPr>
          <w:bCs/>
        </w:rPr>
      </w:pPr>
    </w:p>
    <w:p w14:paraId="0A83AA68" w14:textId="77777777" w:rsidR="00BB6A7F" w:rsidRDefault="00BB6A7F" w:rsidP="00654BED">
      <w:pPr>
        <w:rPr>
          <w:bCs/>
        </w:rPr>
      </w:pPr>
      <w:r>
        <w:rPr>
          <w:bCs/>
        </w:rPr>
        <w:pict w14:anchorId="50405EB3">
          <v:shape id="_x0000_i1027" type="#_x0000_t75" style="width:6in;height:176.6pt">
            <v:imagedata r:id="rId10" o:title=""/>
          </v:shape>
        </w:pict>
      </w:r>
    </w:p>
    <w:p w14:paraId="782D0C14" w14:textId="77777777" w:rsidR="00AB6736" w:rsidRDefault="00AB6736" w:rsidP="00E568DA">
      <w:pPr>
        <w:rPr>
          <w:bCs/>
        </w:rPr>
      </w:pPr>
    </w:p>
    <w:p w14:paraId="73355339" w14:textId="77777777" w:rsidR="00AB6736" w:rsidRDefault="00AB6736" w:rsidP="00E568DA">
      <w:pPr>
        <w:rPr>
          <w:bCs/>
        </w:rPr>
      </w:pPr>
    </w:p>
    <w:p w14:paraId="5FC6AA91" w14:textId="77777777" w:rsidR="00AB6736" w:rsidRDefault="00AB6736" w:rsidP="00AB6736">
      <w:pPr>
        <w:numPr>
          <w:ilvl w:val="0"/>
          <w:numId w:val="27"/>
        </w:numPr>
        <w:rPr>
          <w:bCs/>
        </w:rPr>
      </w:pPr>
      <w:bookmarkStart w:id="0" w:name="OLE_LINK1"/>
      <w:bookmarkStart w:id="1" w:name="OLE_LINK2"/>
      <w:r>
        <w:rPr>
          <w:bCs/>
        </w:rPr>
        <w:t>Comet has a new option to automatically add titles that have owned rights for the territories selected</w:t>
      </w:r>
      <w:r w:rsidR="00836601">
        <w:rPr>
          <w:bCs/>
        </w:rPr>
        <w:t xml:space="preserve"> (or the worldwide rights checkbox set on)</w:t>
      </w:r>
      <w:r>
        <w:rPr>
          <w:bCs/>
        </w:rPr>
        <w:t xml:space="preserve">. Previously, it was necessary to select all titles and run the report. This option excludes all titles that are not acquired for the territories. </w:t>
      </w:r>
    </w:p>
    <w:p w14:paraId="638A5610" w14:textId="77777777" w:rsidR="00654BED" w:rsidRDefault="00866B23" w:rsidP="00E568DA">
      <w:pPr>
        <w:rPr>
          <w:bCs/>
        </w:rPr>
      </w:pPr>
      <w:r>
        <w:rPr>
          <w:bCs/>
        </w:rPr>
        <w:pict w14:anchorId="507DE4D9">
          <v:shape id="_x0000_i1028" type="#_x0000_t75" style="width:285.3pt;height:120.9pt">
            <v:imagedata r:id="rId11" o:title=""/>
          </v:shape>
        </w:pict>
      </w:r>
      <w:bookmarkEnd w:id="0"/>
      <w:bookmarkEnd w:id="1"/>
    </w:p>
    <w:p w14:paraId="4D149867" w14:textId="77777777" w:rsidR="00654BED" w:rsidRDefault="00654BED" w:rsidP="00E568DA">
      <w:pPr>
        <w:rPr>
          <w:bCs/>
        </w:rPr>
      </w:pPr>
    </w:p>
    <w:p w14:paraId="2A27732C" w14:textId="77777777" w:rsidR="001464C8" w:rsidRPr="001464C8" w:rsidRDefault="001464C8" w:rsidP="00AB6736">
      <w:pPr>
        <w:numPr>
          <w:ilvl w:val="0"/>
          <w:numId w:val="27"/>
        </w:numPr>
        <w:rPr>
          <w:bCs/>
        </w:rPr>
      </w:pPr>
      <w:r w:rsidRPr="001464C8">
        <w:rPr>
          <w:bCs/>
        </w:rPr>
        <w:t xml:space="preserve">Invoice pay-to bank account pull-down selection in new invoice popups must exist in the bank account setup table.  Previously, a write-in was allowed. </w:t>
      </w:r>
    </w:p>
    <w:p w14:paraId="467A2AF6" w14:textId="77777777" w:rsidR="001464C8" w:rsidRDefault="001464C8" w:rsidP="00E568DA">
      <w:pPr>
        <w:rPr>
          <w:b/>
          <w:bCs/>
        </w:rPr>
      </w:pPr>
    </w:p>
    <w:p w14:paraId="57CF0040" w14:textId="77777777" w:rsidR="00753A8A" w:rsidRDefault="00753A8A" w:rsidP="00E568DA">
      <w:pPr>
        <w:rPr>
          <w:b/>
          <w:bCs/>
        </w:rPr>
      </w:pPr>
      <w:r>
        <w:rPr>
          <w:b/>
          <w:bCs/>
        </w:rPr>
        <w:lastRenderedPageBreak/>
        <w:t xml:space="preserve">2009-10-14C </w:t>
      </w:r>
    </w:p>
    <w:p w14:paraId="3B496BC5" w14:textId="77777777" w:rsidR="00753A8A" w:rsidRPr="00753A8A" w:rsidRDefault="00753A8A" w:rsidP="00753A8A">
      <w:pPr>
        <w:numPr>
          <w:ilvl w:val="0"/>
          <w:numId w:val="24"/>
        </w:numPr>
        <w:rPr>
          <w:bCs/>
        </w:rPr>
      </w:pPr>
      <w:r w:rsidRPr="00753A8A">
        <w:rPr>
          <w:bCs/>
        </w:rPr>
        <w:t xml:space="preserve">Report 248 shows Broadcaster, Library and Producer Code for all reports. </w:t>
      </w:r>
    </w:p>
    <w:p w14:paraId="0AB83A37" w14:textId="77777777" w:rsidR="00753A8A" w:rsidRDefault="00753A8A" w:rsidP="00E568DA">
      <w:pPr>
        <w:rPr>
          <w:b/>
          <w:bCs/>
        </w:rPr>
      </w:pPr>
    </w:p>
    <w:p w14:paraId="589DF4B2" w14:textId="77777777" w:rsidR="00E63D93" w:rsidRPr="002D2CEB" w:rsidRDefault="002D2CEB" w:rsidP="00E568DA">
      <w:pPr>
        <w:rPr>
          <w:b/>
          <w:bCs/>
        </w:rPr>
      </w:pPr>
      <w:r w:rsidRPr="002D2CEB">
        <w:rPr>
          <w:b/>
          <w:bCs/>
        </w:rPr>
        <w:t>2009-10-12B</w:t>
      </w:r>
    </w:p>
    <w:p w14:paraId="3EC12AA7" w14:textId="77777777" w:rsidR="002D2CEB" w:rsidRDefault="002D2CEB" w:rsidP="002D2CEB">
      <w:pPr>
        <w:numPr>
          <w:ilvl w:val="0"/>
          <w:numId w:val="21"/>
        </w:numPr>
        <w:rPr>
          <w:bCs/>
        </w:rPr>
      </w:pPr>
      <w:r>
        <w:rPr>
          <w:bCs/>
        </w:rPr>
        <w:t>A producer code field is available in the Participant setup screen</w:t>
      </w:r>
    </w:p>
    <w:p w14:paraId="138E2848" w14:textId="77777777" w:rsidR="002D2CEB" w:rsidRDefault="002D2CEB" w:rsidP="002D2CEB">
      <w:pPr>
        <w:numPr>
          <w:ilvl w:val="0"/>
          <w:numId w:val="21"/>
        </w:numPr>
        <w:rPr>
          <w:bCs/>
        </w:rPr>
      </w:pPr>
      <w:r>
        <w:rPr>
          <w:bCs/>
        </w:rPr>
        <w:t xml:space="preserve">Report #73 “Rights and Windows by Related Territory”, has checkbox option to group the rights and territories to one contract per record. </w:t>
      </w:r>
    </w:p>
    <w:p w14:paraId="4FABFCF1" w14:textId="77777777" w:rsidR="002D2CEB" w:rsidRDefault="002D2CEB" w:rsidP="00E568DA">
      <w:pPr>
        <w:rPr>
          <w:bCs/>
        </w:rPr>
      </w:pPr>
    </w:p>
    <w:p w14:paraId="14137887" w14:textId="77777777" w:rsidR="00AE0765" w:rsidRDefault="00AE0765" w:rsidP="002D2CEB">
      <w:pPr>
        <w:numPr>
          <w:ilvl w:val="0"/>
          <w:numId w:val="21"/>
        </w:numPr>
        <w:rPr>
          <w:bCs/>
        </w:rPr>
      </w:pPr>
      <w:r>
        <w:rPr>
          <w:bCs/>
        </w:rPr>
        <w:t>Report #34 has two new checkbox options:</w:t>
      </w:r>
    </w:p>
    <w:p w14:paraId="4A0397C0" w14:textId="77777777" w:rsidR="00AE0765" w:rsidRDefault="00AE0765" w:rsidP="00AE0765">
      <w:pPr>
        <w:numPr>
          <w:ilvl w:val="0"/>
          <w:numId w:val="20"/>
        </w:numPr>
        <w:rPr>
          <w:bCs/>
        </w:rPr>
      </w:pPr>
      <w:r>
        <w:rPr>
          <w:bCs/>
        </w:rPr>
        <w:t xml:space="preserve">Show Foreign Currency shows the contract license fee and currency country, with the rights and license term windows. This report is oriented for portrait. </w:t>
      </w:r>
    </w:p>
    <w:p w14:paraId="06E1903F" w14:textId="77777777" w:rsidR="00AE0765" w:rsidRDefault="00AE0765" w:rsidP="00AE0765">
      <w:pPr>
        <w:numPr>
          <w:ilvl w:val="0"/>
          <w:numId w:val="20"/>
        </w:numPr>
        <w:rPr>
          <w:bCs/>
        </w:rPr>
      </w:pPr>
      <w:r>
        <w:rPr>
          <w:bCs/>
        </w:rPr>
        <w:t xml:space="preserve">Show Receipts adds the invoiced, paid, current, uncollected columns in landscape orientation. </w:t>
      </w:r>
    </w:p>
    <w:p w14:paraId="16677F28" w14:textId="77777777" w:rsidR="00AE0765" w:rsidRDefault="00AE0765" w:rsidP="00E568DA">
      <w:pPr>
        <w:rPr>
          <w:bCs/>
        </w:rPr>
      </w:pPr>
    </w:p>
    <w:p w14:paraId="1B85D2D6" w14:textId="77777777" w:rsidR="00AB76EB" w:rsidRDefault="00AB76EB" w:rsidP="002D2CEB">
      <w:pPr>
        <w:numPr>
          <w:ilvl w:val="0"/>
          <w:numId w:val="22"/>
        </w:numPr>
        <w:rPr>
          <w:bCs/>
        </w:rPr>
      </w:pPr>
      <w:r>
        <w:rPr>
          <w:bCs/>
        </w:rPr>
        <w:t>New report #269, Compact Collection Report</w:t>
      </w:r>
    </w:p>
    <w:p w14:paraId="77F62325" w14:textId="77777777" w:rsidR="00AB76EB" w:rsidRDefault="00AB76EB" w:rsidP="00E568DA">
      <w:pPr>
        <w:rPr>
          <w:bCs/>
        </w:rPr>
      </w:pPr>
    </w:p>
    <w:p w14:paraId="38AF469E" w14:textId="77777777" w:rsidR="00CA1527" w:rsidRDefault="00CA1527" w:rsidP="002D2CEB">
      <w:pPr>
        <w:numPr>
          <w:ilvl w:val="0"/>
          <w:numId w:val="22"/>
        </w:numPr>
        <w:rPr>
          <w:bCs/>
        </w:rPr>
      </w:pPr>
      <w:r>
        <w:rPr>
          <w:bCs/>
        </w:rPr>
        <w:t>Report 262, Contracts by producer code:</w:t>
      </w:r>
    </w:p>
    <w:p w14:paraId="3734DEC3" w14:textId="77777777" w:rsidR="00CA1527" w:rsidRDefault="00CA1527" w:rsidP="00CA1527">
      <w:pPr>
        <w:numPr>
          <w:ilvl w:val="0"/>
          <w:numId w:val="19"/>
        </w:numPr>
        <w:rPr>
          <w:bCs/>
        </w:rPr>
      </w:pPr>
      <w:r>
        <w:rPr>
          <w:bCs/>
        </w:rPr>
        <w:t>New option to filter to one producer code</w:t>
      </w:r>
    </w:p>
    <w:p w14:paraId="02529DA2" w14:textId="77777777" w:rsidR="00CA1527" w:rsidRDefault="00CA1527" w:rsidP="00CA1527">
      <w:pPr>
        <w:numPr>
          <w:ilvl w:val="0"/>
          <w:numId w:val="19"/>
        </w:numPr>
        <w:rPr>
          <w:bCs/>
        </w:rPr>
      </w:pPr>
      <w:r>
        <w:rPr>
          <w:bCs/>
        </w:rPr>
        <w:t>New checkbox option to include titles with no producer code (only applies if producer code pulldown is blank)</w:t>
      </w:r>
    </w:p>
    <w:p w14:paraId="36760B92" w14:textId="77777777" w:rsidR="00CA1527" w:rsidRDefault="00CA1527" w:rsidP="00CA1527">
      <w:pPr>
        <w:numPr>
          <w:ilvl w:val="0"/>
          <w:numId w:val="19"/>
        </w:numPr>
        <w:rPr>
          <w:bCs/>
        </w:rPr>
      </w:pPr>
      <w:r>
        <w:rPr>
          <w:bCs/>
        </w:rPr>
        <w:t xml:space="preserve">New checkbox option to open report </w:t>
      </w:r>
      <w:r w:rsidRPr="00CA1527">
        <w:rPr>
          <w:bCs/>
        </w:rPr>
        <w:t>242</w:t>
      </w:r>
      <w:r>
        <w:rPr>
          <w:bCs/>
        </w:rPr>
        <w:t xml:space="preserve"> to show titles with no contracts. </w:t>
      </w:r>
    </w:p>
    <w:p w14:paraId="69A6B0F6" w14:textId="77777777" w:rsidR="00CA1527" w:rsidRDefault="00CA1527" w:rsidP="00E568DA">
      <w:pPr>
        <w:rPr>
          <w:bCs/>
        </w:rPr>
      </w:pPr>
    </w:p>
    <w:p w14:paraId="3ADFC4CE" w14:textId="77777777" w:rsidR="00CA1527" w:rsidRDefault="00CA1527" w:rsidP="00E568DA">
      <w:pPr>
        <w:rPr>
          <w:bCs/>
        </w:rPr>
      </w:pPr>
    </w:p>
    <w:p w14:paraId="358DDAD8" w14:textId="77777777" w:rsidR="00B86BDF" w:rsidRPr="00F416AE" w:rsidRDefault="00B86BDF" w:rsidP="00E568DA">
      <w:pPr>
        <w:rPr>
          <w:b/>
          <w:bCs/>
        </w:rPr>
      </w:pPr>
      <w:r w:rsidRPr="00F416AE">
        <w:rPr>
          <w:b/>
          <w:bCs/>
        </w:rPr>
        <w:t>2009-10-05 Release K</w:t>
      </w:r>
    </w:p>
    <w:p w14:paraId="1E11594D" w14:textId="77777777" w:rsidR="00B86BDF" w:rsidRDefault="00B86BDF" w:rsidP="00E568DA">
      <w:pPr>
        <w:rPr>
          <w:bCs/>
        </w:rPr>
      </w:pPr>
      <w:r>
        <w:rPr>
          <w:bCs/>
        </w:rPr>
        <w:t>Adjustments added to report 256</w:t>
      </w:r>
      <w:r w:rsidR="00CC531E">
        <w:rPr>
          <w:bCs/>
        </w:rPr>
        <w:t xml:space="preserve">, with reportable receipts before and after adjustments. </w:t>
      </w:r>
    </w:p>
    <w:p w14:paraId="1A9BA7BB" w14:textId="77777777" w:rsidR="00B86BDF" w:rsidRDefault="00B86BDF" w:rsidP="00E568DA">
      <w:pPr>
        <w:rPr>
          <w:bCs/>
        </w:rPr>
      </w:pPr>
      <w:r>
        <w:rPr>
          <w:bCs/>
        </w:rPr>
        <w:pict w14:anchorId="08C14149">
          <v:shape id="_x0000_i1029" type="#_x0000_t75" style="width:431.3pt;height:55.7pt">
            <v:imagedata r:id="rId12" o:title=""/>
          </v:shape>
        </w:pict>
      </w:r>
    </w:p>
    <w:p w14:paraId="607E72B8" w14:textId="77777777" w:rsidR="00B86BDF" w:rsidRDefault="00B86BDF" w:rsidP="00E568DA">
      <w:pPr>
        <w:rPr>
          <w:bCs/>
        </w:rPr>
      </w:pPr>
    </w:p>
    <w:p w14:paraId="6E03E91D" w14:textId="77777777" w:rsidR="00B86BDF" w:rsidRDefault="00CC531E" w:rsidP="002D2CEB">
      <w:pPr>
        <w:numPr>
          <w:ilvl w:val="0"/>
          <w:numId w:val="23"/>
        </w:numPr>
        <w:rPr>
          <w:bCs/>
        </w:rPr>
      </w:pPr>
      <w:r>
        <w:rPr>
          <w:bCs/>
        </w:rPr>
        <w:t>Report 32</w:t>
      </w:r>
      <w:r w:rsidR="002D2CEB">
        <w:rPr>
          <w:bCs/>
        </w:rPr>
        <w:t xml:space="preserve"> has a w</w:t>
      </w:r>
      <w:r>
        <w:rPr>
          <w:bCs/>
        </w:rPr>
        <w:t>ider contract number</w:t>
      </w:r>
    </w:p>
    <w:p w14:paraId="2712E96F" w14:textId="77777777" w:rsidR="00B86BDF" w:rsidRDefault="00B86BDF" w:rsidP="00E568DA">
      <w:pPr>
        <w:rPr>
          <w:bCs/>
        </w:rPr>
      </w:pPr>
    </w:p>
    <w:p w14:paraId="1B921062" w14:textId="77777777" w:rsidR="000C22E5" w:rsidRPr="002D2CEB" w:rsidRDefault="000C22E5" w:rsidP="00E568DA">
      <w:pPr>
        <w:rPr>
          <w:b/>
          <w:bCs/>
        </w:rPr>
      </w:pPr>
      <w:r w:rsidRPr="002D2CEB">
        <w:rPr>
          <w:b/>
          <w:bCs/>
        </w:rPr>
        <w:t>2009-09-21J</w:t>
      </w:r>
    </w:p>
    <w:p w14:paraId="4D8B36E6" w14:textId="77777777" w:rsidR="000C22E5" w:rsidRDefault="000C22E5" w:rsidP="002D2CEB">
      <w:pPr>
        <w:numPr>
          <w:ilvl w:val="0"/>
          <w:numId w:val="23"/>
        </w:numPr>
        <w:rPr>
          <w:bCs/>
        </w:rPr>
      </w:pPr>
      <w:r>
        <w:rPr>
          <w:bCs/>
        </w:rPr>
        <w:t>Report 256 Allocated Receipts report has new options and columns:</w:t>
      </w:r>
    </w:p>
    <w:p w14:paraId="70C5F157" w14:textId="77777777" w:rsidR="000C22E5" w:rsidRDefault="000C22E5" w:rsidP="00E568DA">
      <w:pPr>
        <w:rPr>
          <w:bCs/>
        </w:rPr>
      </w:pPr>
    </w:p>
    <w:p w14:paraId="74C883FF" w14:textId="77777777" w:rsidR="000C22E5" w:rsidRDefault="000C22E5" w:rsidP="000C22E5">
      <w:pPr>
        <w:rPr>
          <w:rFonts w:ascii="Arial" w:hAnsi="Arial" w:cs="Arial"/>
        </w:rPr>
      </w:pPr>
      <w:r>
        <w:rPr>
          <w:rFonts w:ascii="Arial" w:hAnsi="Arial" w:cs="Arial"/>
        </w:rPr>
        <w:t>Report #256 changes</w:t>
      </w:r>
    </w:p>
    <w:p w14:paraId="4B7CD555" w14:textId="77777777" w:rsidR="000C22E5" w:rsidRPr="00E71C08" w:rsidRDefault="000C22E5" w:rsidP="000C22E5">
      <w:pPr>
        <w:rPr>
          <w:rFonts w:ascii="Arial" w:hAnsi="Arial" w:cs="Arial"/>
        </w:rPr>
      </w:pPr>
    </w:p>
    <w:p w14:paraId="0F10F5EC" w14:textId="77777777" w:rsidR="000C22E5" w:rsidRDefault="002D2CEB" w:rsidP="000C22E5">
      <w:pPr>
        <w:pStyle w:val="ListParagraph"/>
        <w:numPr>
          <w:ilvl w:val="0"/>
          <w:numId w:val="18"/>
        </w:numPr>
        <w:rPr>
          <w:rFonts w:ascii="Arial" w:hAnsi="Arial" w:cs="Arial"/>
        </w:rPr>
      </w:pPr>
      <w:r>
        <w:rPr>
          <w:rFonts w:ascii="Arial" w:hAnsi="Arial" w:cs="Arial"/>
        </w:rPr>
        <w:t>New</w:t>
      </w:r>
      <w:r w:rsidR="000C22E5">
        <w:rPr>
          <w:rFonts w:ascii="Arial" w:hAnsi="Arial" w:cs="Arial"/>
        </w:rPr>
        <w:t xml:space="preserve"> column based on existing columns for Net </w:t>
      </w:r>
      <w:r>
        <w:rPr>
          <w:rFonts w:ascii="Arial" w:hAnsi="Arial" w:cs="Arial"/>
        </w:rPr>
        <w:t>Credit</w:t>
      </w:r>
      <w:r w:rsidR="000C22E5">
        <w:rPr>
          <w:rFonts w:ascii="Arial" w:hAnsi="Arial" w:cs="Arial"/>
        </w:rPr>
        <w:t xml:space="preserve"> Less VAT less WHT, less bank charges, less intermediary, less approved deductions, less currency gain/loss</w:t>
      </w:r>
    </w:p>
    <w:p w14:paraId="18B7229F" w14:textId="77777777" w:rsidR="000C22E5" w:rsidRPr="00E71C08" w:rsidRDefault="000C22E5" w:rsidP="000C22E5">
      <w:pPr>
        <w:rPr>
          <w:rFonts w:ascii="Arial" w:hAnsi="Arial" w:cs="Arial"/>
        </w:rPr>
      </w:pPr>
      <w:r w:rsidRPr="000C22E5">
        <w:rPr>
          <w:rFonts w:ascii="Arial" w:hAnsi="Arial" w:cs="Arial"/>
          <w:noProof/>
        </w:rPr>
        <w:pict w14:anchorId="78F248EF">
          <v:shape id="Picture 3" o:spid="_x0000_i1030" type="#_x0000_t75" style="width:278.5pt;height:129.05pt;visibility:visible">
            <v:imagedata r:id="rId13" o:title=""/>
          </v:shape>
        </w:pict>
      </w:r>
      <w:r w:rsidRPr="00E71C08">
        <w:rPr>
          <w:rFonts w:ascii="Arial" w:hAnsi="Arial" w:cs="Arial"/>
        </w:rPr>
        <w:br/>
      </w:r>
    </w:p>
    <w:p w14:paraId="44B7F6F7" w14:textId="77777777" w:rsidR="000C22E5" w:rsidRPr="002D2CEB" w:rsidRDefault="002D2CEB" w:rsidP="002D2CEB">
      <w:pPr>
        <w:pStyle w:val="ListParagraph"/>
        <w:numPr>
          <w:ilvl w:val="0"/>
          <w:numId w:val="17"/>
        </w:numPr>
        <w:rPr>
          <w:rFonts w:ascii="Arial" w:hAnsi="Arial" w:cs="Arial"/>
        </w:rPr>
      </w:pPr>
      <w:r w:rsidRPr="002D2CEB">
        <w:rPr>
          <w:rFonts w:ascii="Arial" w:hAnsi="Arial" w:cs="Arial"/>
        </w:rPr>
        <w:t xml:space="preserve">New report shows to </w:t>
      </w:r>
      <w:r w:rsidR="000C22E5" w:rsidRPr="002D2CEB">
        <w:rPr>
          <w:rFonts w:ascii="Arial" w:hAnsi="Arial" w:cs="Arial"/>
        </w:rPr>
        <w:t>provide title total version of the report (</w:t>
      </w:r>
      <w:proofErr w:type="gramStart"/>
      <w:r w:rsidR="000C22E5" w:rsidRPr="002D2CEB">
        <w:rPr>
          <w:rFonts w:ascii="Arial" w:hAnsi="Arial" w:cs="Arial"/>
        </w:rPr>
        <w:t>i.e.</w:t>
      </w:r>
      <w:proofErr w:type="gramEnd"/>
      <w:r w:rsidR="000C22E5" w:rsidRPr="002D2CEB">
        <w:rPr>
          <w:rFonts w:ascii="Arial" w:hAnsi="Arial" w:cs="Arial"/>
        </w:rPr>
        <w:t xml:space="preserve"> combined total by title of all contracts with receipts in date range)</w:t>
      </w:r>
      <w:r w:rsidRPr="002D2CEB">
        <w:rPr>
          <w:rFonts w:ascii="Arial" w:hAnsi="Arial" w:cs="Arial"/>
        </w:rPr>
        <w:t>.  The new report i</w:t>
      </w:r>
      <w:r w:rsidR="000C22E5" w:rsidRPr="002D2CEB">
        <w:rPr>
          <w:rFonts w:ascii="Arial" w:hAnsi="Arial" w:cs="Arial"/>
        </w:rPr>
        <w:t xml:space="preserve">s a condensed summary by title report </w:t>
      </w:r>
      <w:r w:rsidR="000C22E5" w:rsidRPr="002D2CEB">
        <w:rPr>
          <w:rFonts w:ascii="Arial" w:hAnsi="Arial" w:cs="Arial"/>
        </w:rPr>
        <w:lastRenderedPageBreak/>
        <w:t>showing new calculation column “Reportable Net Royalty Receipts” plus the title information columns (Producer Code, Title Code, Library)</w:t>
      </w:r>
    </w:p>
    <w:p w14:paraId="608A4D53" w14:textId="77777777" w:rsidR="000C22E5" w:rsidRDefault="000C22E5" w:rsidP="000C22E5">
      <w:pPr>
        <w:pStyle w:val="ListParagraph"/>
        <w:ind w:left="1080"/>
        <w:rPr>
          <w:rFonts w:ascii="Arial" w:hAnsi="Arial" w:cs="Arial"/>
        </w:rPr>
      </w:pPr>
    </w:p>
    <w:p w14:paraId="34C56310" w14:textId="77777777" w:rsidR="000C22E5" w:rsidRPr="00AB19CC" w:rsidRDefault="000C22E5" w:rsidP="000C22E5">
      <w:pPr>
        <w:rPr>
          <w:rFonts w:ascii="Arial" w:hAnsi="Arial" w:cs="Arial"/>
        </w:rPr>
      </w:pPr>
    </w:p>
    <w:p w14:paraId="13762499" w14:textId="77777777" w:rsidR="000C22E5" w:rsidRDefault="000C22E5" w:rsidP="000C22E5">
      <w:pPr>
        <w:pStyle w:val="ListParagraph"/>
        <w:numPr>
          <w:ilvl w:val="0"/>
          <w:numId w:val="16"/>
        </w:numPr>
        <w:rPr>
          <w:rFonts w:ascii="Arial" w:hAnsi="Arial" w:cs="Arial"/>
        </w:rPr>
      </w:pPr>
      <w:r>
        <w:rPr>
          <w:rFonts w:ascii="Arial" w:hAnsi="Arial" w:cs="Arial"/>
        </w:rPr>
        <w:t>Add</w:t>
      </w:r>
      <w:r w:rsidR="002D2CEB">
        <w:rPr>
          <w:rFonts w:ascii="Arial" w:hAnsi="Arial" w:cs="Arial"/>
        </w:rPr>
        <w:t>ed</w:t>
      </w:r>
      <w:r>
        <w:rPr>
          <w:rFonts w:ascii="Arial" w:hAnsi="Arial" w:cs="Arial"/>
        </w:rPr>
        <w:t xml:space="preserve"> a Producer Code column to the main query report by contract</w:t>
      </w:r>
      <w:r>
        <w:rPr>
          <w:rFonts w:ascii="Arial" w:hAnsi="Arial" w:cs="Arial"/>
        </w:rPr>
        <w:br/>
      </w:r>
    </w:p>
    <w:p w14:paraId="3666B582" w14:textId="77777777" w:rsidR="000C22E5" w:rsidRDefault="000C22E5" w:rsidP="000C22E5">
      <w:pPr>
        <w:pStyle w:val="ListParagraph"/>
        <w:numPr>
          <w:ilvl w:val="0"/>
          <w:numId w:val="16"/>
        </w:numPr>
        <w:rPr>
          <w:rFonts w:ascii="Arial" w:hAnsi="Arial" w:cs="Arial"/>
        </w:rPr>
      </w:pPr>
      <w:r>
        <w:rPr>
          <w:rFonts w:ascii="Arial" w:hAnsi="Arial" w:cs="Arial"/>
        </w:rPr>
        <w:t>Add</w:t>
      </w:r>
      <w:r w:rsidR="002D2CEB">
        <w:rPr>
          <w:rFonts w:ascii="Arial" w:hAnsi="Arial" w:cs="Arial"/>
        </w:rPr>
        <w:t>ed</w:t>
      </w:r>
      <w:r>
        <w:rPr>
          <w:rFonts w:ascii="Arial" w:hAnsi="Arial" w:cs="Arial"/>
        </w:rPr>
        <w:t xml:space="preserve"> a title code column to the main query report by contract</w:t>
      </w:r>
      <w:r>
        <w:rPr>
          <w:rFonts w:ascii="Arial" w:hAnsi="Arial" w:cs="Arial"/>
        </w:rPr>
        <w:br/>
      </w:r>
    </w:p>
    <w:p w14:paraId="1D4E1159" w14:textId="77777777" w:rsidR="000C22E5" w:rsidRDefault="000C22E5" w:rsidP="000C22E5">
      <w:pPr>
        <w:pStyle w:val="ListParagraph"/>
        <w:numPr>
          <w:ilvl w:val="0"/>
          <w:numId w:val="16"/>
        </w:numPr>
        <w:rPr>
          <w:rFonts w:ascii="Arial" w:hAnsi="Arial" w:cs="Arial"/>
        </w:rPr>
      </w:pPr>
      <w:r>
        <w:rPr>
          <w:rFonts w:ascii="Arial" w:hAnsi="Arial" w:cs="Arial"/>
        </w:rPr>
        <w:t>Add</w:t>
      </w:r>
      <w:r w:rsidR="002D2CEB">
        <w:rPr>
          <w:rFonts w:ascii="Arial" w:hAnsi="Arial" w:cs="Arial"/>
        </w:rPr>
        <w:t>ed</w:t>
      </w:r>
      <w:r>
        <w:rPr>
          <w:rFonts w:ascii="Arial" w:hAnsi="Arial" w:cs="Arial"/>
        </w:rPr>
        <w:t xml:space="preserve"> a Library column</w:t>
      </w:r>
    </w:p>
    <w:p w14:paraId="56FC43FE" w14:textId="77777777" w:rsidR="000C22E5" w:rsidRDefault="000C22E5" w:rsidP="000C22E5">
      <w:pPr>
        <w:rPr>
          <w:rFonts w:ascii="Arial" w:hAnsi="Arial" w:cs="Arial"/>
        </w:rPr>
      </w:pPr>
    </w:p>
    <w:p w14:paraId="26C95E1D" w14:textId="77777777" w:rsidR="000C22E5" w:rsidRDefault="000C22E5" w:rsidP="000C22E5">
      <w:pPr>
        <w:rPr>
          <w:rFonts w:ascii="Arial" w:hAnsi="Arial" w:cs="Arial"/>
        </w:rPr>
      </w:pPr>
      <w:r w:rsidRPr="000C22E5">
        <w:rPr>
          <w:rFonts w:ascii="Arial" w:hAnsi="Arial" w:cs="Arial"/>
          <w:noProof/>
        </w:rPr>
        <w:pict w14:anchorId="01E4FA9B">
          <v:shape id="Picture 2" o:spid="_x0000_i1031" type="#_x0000_t75" style="width:332.85pt;height:74.05pt;visibility:visible">
            <v:imagedata r:id="rId14" o:title=""/>
          </v:shape>
        </w:pict>
      </w:r>
    </w:p>
    <w:p w14:paraId="162C3529" w14:textId="77777777" w:rsidR="000C22E5" w:rsidRDefault="000C22E5" w:rsidP="000C22E5">
      <w:pPr>
        <w:rPr>
          <w:rFonts w:ascii="Arial" w:hAnsi="Arial" w:cs="Arial"/>
        </w:rPr>
      </w:pPr>
    </w:p>
    <w:p w14:paraId="39002955" w14:textId="77777777" w:rsidR="000C22E5" w:rsidRDefault="002D2CEB" w:rsidP="000C22E5">
      <w:pPr>
        <w:pStyle w:val="ListParagraph"/>
        <w:numPr>
          <w:ilvl w:val="0"/>
          <w:numId w:val="16"/>
        </w:numPr>
      </w:pPr>
      <w:r w:rsidRPr="002D2CEB">
        <w:rPr>
          <w:rFonts w:ascii="Arial" w:hAnsi="Arial" w:cs="Arial"/>
        </w:rPr>
        <w:t xml:space="preserve">A new filter will </w:t>
      </w:r>
      <w:r w:rsidR="000C22E5" w:rsidRPr="002D2CEB">
        <w:rPr>
          <w:rFonts w:ascii="Arial" w:hAnsi="Arial" w:cs="Arial"/>
        </w:rPr>
        <w:t>filter by library</w:t>
      </w:r>
      <w:r w:rsidRPr="002D2CEB">
        <w:rPr>
          <w:rFonts w:ascii="Arial" w:hAnsi="Arial" w:cs="Arial"/>
        </w:rPr>
        <w:t xml:space="preserve">.  If left blank, all libraries are included. </w:t>
      </w:r>
    </w:p>
    <w:p w14:paraId="563E67A3" w14:textId="77777777" w:rsidR="000C22E5" w:rsidRDefault="000C22E5" w:rsidP="000C22E5">
      <w:r w:rsidRPr="004F3BDA">
        <w:rPr>
          <w:noProof/>
        </w:rPr>
        <w:pict w14:anchorId="486EB080">
          <v:shape id="Picture 1" o:spid="_x0000_i1032" type="#_x0000_t75" style="width:112.75pt;height:88.3pt;visibility:visible">
            <v:imagedata r:id="rId15" o:title=""/>
          </v:shape>
        </w:pict>
      </w:r>
    </w:p>
    <w:p w14:paraId="331AB62D" w14:textId="77777777" w:rsidR="000C22E5" w:rsidRDefault="000C22E5" w:rsidP="00E568DA">
      <w:pPr>
        <w:rPr>
          <w:bCs/>
        </w:rPr>
      </w:pPr>
    </w:p>
    <w:p w14:paraId="22CBADA6" w14:textId="77777777" w:rsidR="000C22E5" w:rsidRDefault="000C22E5" w:rsidP="00E568DA">
      <w:pPr>
        <w:rPr>
          <w:bCs/>
        </w:rPr>
      </w:pPr>
    </w:p>
    <w:p w14:paraId="7AD16FD9" w14:textId="77777777" w:rsidR="000C22E5" w:rsidRDefault="000C22E5" w:rsidP="00E568DA">
      <w:pPr>
        <w:rPr>
          <w:bCs/>
        </w:rPr>
      </w:pPr>
    </w:p>
    <w:p w14:paraId="4FBCE106" w14:textId="77777777" w:rsidR="004023FD" w:rsidRPr="004023FD" w:rsidRDefault="004023FD" w:rsidP="00E568DA">
      <w:pPr>
        <w:rPr>
          <w:b/>
          <w:bCs/>
          <w:u w:val="single"/>
        </w:rPr>
      </w:pPr>
      <w:r w:rsidRPr="004023FD">
        <w:rPr>
          <w:b/>
          <w:bCs/>
          <w:u w:val="single"/>
        </w:rPr>
        <w:t>2009-09-21F</w:t>
      </w:r>
    </w:p>
    <w:p w14:paraId="1C119380" w14:textId="77777777" w:rsidR="00D12D76" w:rsidRDefault="00D12D76" w:rsidP="00442A7C">
      <w:pPr>
        <w:numPr>
          <w:ilvl w:val="0"/>
          <w:numId w:val="15"/>
        </w:numPr>
        <w:rPr>
          <w:bCs/>
        </w:rPr>
      </w:pPr>
      <w:r>
        <w:rPr>
          <w:bCs/>
        </w:rPr>
        <w:t xml:space="preserve">Comet has a new path in Advanced Settings called “DrivePathOfPosterGraphicFiles”, intended for high resolution graphic images for the new Format 2 Word output report. It defaults to the same folder used for </w:t>
      </w:r>
      <w:proofErr w:type="gramStart"/>
      <w:r>
        <w:rPr>
          <w:bCs/>
        </w:rPr>
        <w:t>Thumbnails, but</w:t>
      </w:r>
      <w:proofErr w:type="gramEnd"/>
      <w:r>
        <w:rPr>
          <w:bCs/>
        </w:rPr>
        <w:t xml:space="preserve"> may be changed for each user. </w:t>
      </w:r>
    </w:p>
    <w:p w14:paraId="695453B0" w14:textId="77777777" w:rsidR="00D12D76" w:rsidRDefault="00D12D76" w:rsidP="00E568DA">
      <w:pPr>
        <w:rPr>
          <w:bCs/>
        </w:rPr>
      </w:pPr>
    </w:p>
    <w:p w14:paraId="631B7DFF" w14:textId="77777777" w:rsidR="00D12D76" w:rsidRDefault="00D12D76" w:rsidP="00E568DA">
      <w:pPr>
        <w:rPr>
          <w:bCs/>
        </w:rPr>
      </w:pPr>
      <w:r>
        <w:object w:dxaOrig="11670" w:dyaOrig="6405" w14:anchorId="5975EE13">
          <v:shape id="_x0000_i1033" type="#_x0000_t75" style="width:270.35pt;height:148.1pt" o:ole="">
            <v:imagedata r:id="rId16" o:title=""/>
          </v:shape>
          <o:OLEObject Type="Embed" ProgID="PBrush" ShapeID="_x0000_i1033" DrawAspect="Content" ObjectID="_1688581558" r:id="rId17"/>
        </w:object>
      </w:r>
    </w:p>
    <w:p w14:paraId="30BD9187" w14:textId="77777777" w:rsidR="00D12D76" w:rsidRDefault="00D12D76" w:rsidP="00E568DA">
      <w:pPr>
        <w:rPr>
          <w:bCs/>
        </w:rPr>
      </w:pPr>
    </w:p>
    <w:p w14:paraId="7384C57A" w14:textId="77777777" w:rsidR="00442A7C" w:rsidRDefault="00D12D76" w:rsidP="00442A7C">
      <w:pPr>
        <w:numPr>
          <w:ilvl w:val="0"/>
          <w:numId w:val="15"/>
        </w:numPr>
        <w:rPr>
          <w:bCs/>
        </w:rPr>
      </w:pPr>
      <w:r>
        <w:rPr>
          <w:bCs/>
        </w:rPr>
        <w:t>Comet has a new availability report format, “Format 2 Word output</w:t>
      </w:r>
      <w:r w:rsidR="00442A7C">
        <w:rPr>
          <w:bCs/>
        </w:rPr>
        <w:t>”</w:t>
      </w:r>
      <w:r>
        <w:rPr>
          <w:bCs/>
        </w:rPr>
        <w:t xml:space="preserve"> which creates a multi-page Word availability document with a high resolution “poster” image that may be exported to HTML directly. </w:t>
      </w:r>
      <w:r w:rsidR="00442A7C">
        <w:rPr>
          <w:bCs/>
        </w:rPr>
        <w:t xml:space="preserve">It uses the Format 2 report engine which requires that owned rights information be entered in Comet, or that the “Worldwide Rights” checkbox is on in the title setup screen. </w:t>
      </w:r>
    </w:p>
    <w:p w14:paraId="4798C691" w14:textId="77777777" w:rsidR="00D12D76" w:rsidRDefault="00442A7C" w:rsidP="00E568DA">
      <w:pPr>
        <w:rPr>
          <w:bCs/>
        </w:rPr>
      </w:pPr>
      <w:r>
        <w:rPr>
          <w:bCs/>
        </w:rPr>
        <w:t>To run the new format:</w:t>
      </w:r>
    </w:p>
    <w:p w14:paraId="4B067C38" w14:textId="77777777" w:rsidR="00D12D76" w:rsidRDefault="00D12D76" w:rsidP="00D12D76">
      <w:pPr>
        <w:numPr>
          <w:ilvl w:val="0"/>
          <w:numId w:val="12"/>
        </w:numPr>
        <w:rPr>
          <w:bCs/>
        </w:rPr>
      </w:pPr>
      <w:r>
        <w:rPr>
          <w:bCs/>
        </w:rPr>
        <w:t xml:space="preserve">Open a word document and save it in the </w:t>
      </w:r>
      <w:r w:rsidR="00442A7C">
        <w:rPr>
          <w:bCs/>
        </w:rPr>
        <w:t xml:space="preserve">Comet shared server </w:t>
      </w:r>
      <w:r>
        <w:rPr>
          <w:bCs/>
        </w:rPr>
        <w:t xml:space="preserve">Template folder as </w:t>
      </w:r>
      <w:r w:rsidR="00442A7C" w:rsidRPr="00442A7C">
        <w:rPr>
          <w:bCs/>
        </w:rPr>
        <w:t>AvailFormat2WordTemplate</w:t>
      </w:r>
      <w:r w:rsidR="00442A7C">
        <w:rPr>
          <w:bCs/>
        </w:rPr>
        <w:t xml:space="preserve">.dot. There is currently no way to change the name.  Add your own company artwork and contact information in the header and footer. </w:t>
      </w:r>
    </w:p>
    <w:p w14:paraId="52D85E7D" w14:textId="77777777" w:rsidR="00442A7C" w:rsidRDefault="00442A7C" w:rsidP="00D12D76">
      <w:pPr>
        <w:numPr>
          <w:ilvl w:val="0"/>
          <w:numId w:val="12"/>
        </w:numPr>
        <w:rPr>
          <w:bCs/>
        </w:rPr>
      </w:pPr>
      <w:r>
        <w:rPr>
          <w:bCs/>
        </w:rPr>
        <w:lastRenderedPageBreak/>
        <w:t xml:space="preserve">Open a Comet availability report. </w:t>
      </w:r>
    </w:p>
    <w:p w14:paraId="51ADBBB3" w14:textId="77777777" w:rsidR="00D12D76" w:rsidRDefault="00D12D76" w:rsidP="00D12D76">
      <w:pPr>
        <w:numPr>
          <w:ilvl w:val="0"/>
          <w:numId w:val="12"/>
        </w:numPr>
        <w:rPr>
          <w:bCs/>
        </w:rPr>
      </w:pPr>
      <w:r>
        <w:rPr>
          <w:bCs/>
        </w:rPr>
        <w:t>Select the titles, territories, rights, and other options for the report</w:t>
      </w:r>
    </w:p>
    <w:p w14:paraId="11069726" w14:textId="77777777" w:rsidR="00D12D76" w:rsidRDefault="00D12D76" w:rsidP="00D12D76">
      <w:pPr>
        <w:numPr>
          <w:ilvl w:val="0"/>
          <w:numId w:val="12"/>
        </w:numPr>
        <w:rPr>
          <w:bCs/>
        </w:rPr>
      </w:pPr>
      <w:r>
        <w:rPr>
          <w:bCs/>
        </w:rPr>
        <w:t>Open the Format 2 tab in the availability reports</w:t>
      </w:r>
    </w:p>
    <w:p w14:paraId="44E14D78" w14:textId="77777777" w:rsidR="00D12D76" w:rsidRDefault="00D12D76" w:rsidP="00D12D76">
      <w:pPr>
        <w:numPr>
          <w:ilvl w:val="0"/>
          <w:numId w:val="12"/>
        </w:numPr>
        <w:rPr>
          <w:bCs/>
        </w:rPr>
      </w:pPr>
      <w:r>
        <w:rPr>
          <w:bCs/>
        </w:rPr>
        <w:t>Click on the “Prepare Data” button</w:t>
      </w:r>
      <w:r>
        <w:rPr>
          <w:bCs/>
        </w:rPr>
        <w:br/>
      </w:r>
      <w:r w:rsidRPr="00D12D76">
        <w:rPr>
          <w:bCs/>
        </w:rPr>
        <w:pict w14:anchorId="1C3B3C00">
          <v:shape id="_x0000_i1034" type="#_x0000_t75" style="width:252pt;height:217.35pt">
            <v:imagedata r:id="rId18" o:title=""/>
          </v:shape>
        </w:pict>
      </w:r>
    </w:p>
    <w:p w14:paraId="1265C512" w14:textId="77777777" w:rsidR="00D12D76" w:rsidRDefault="00D12D76" w:rsidP="00E568DA">
      <w:pPr>
        <w:rPr>
          <w:bCs/>
        </w:rPr>
      </w:pPr>
    </w:p>
    <w:p w14:paraId="6545FA29" w14:textId="77777777" w:rsidR="004023FD" w:rsidRDefault="00D12D76" w:rsidP="00E568DA">
      <w:pPr>
        <w:rPr>
          <w:bCs/>
        </w:rPr>
      </w:pPr>
      <w:r>
        <w:rPr>
          <w:bCs/>
        </w:rPr>
        <w:t xml:space="preserve">4. </w:t>
      </w:r>
      <w:r w:rsidR="004023FD">
        <w:rPr>
          <w:bCs/>
        </w:rPr>
        <w:t xml:space="preserve">Wait until Comet brings you to the “Format 2 Reports” tab. </w:t>
      </w:r>
    </w:p>
    <w:p w14:paraId="489AE0B1" w14:textId="77777777" w:rsidR="00D12D76" w:rsidRDefault="004023FD" w:rsidP="00E568DA">
      <w:pPr>
        <w:rPr>
          <w:bCs/>
        </w:rPr>
      </w:pPr>
      <w:r>
        <w:rPr>
          <w:bCs/>
        </w:rPr>
        <w:t xml:space="preserve">5. </w:t>
      </w:r>
      <w:r w:rsidR="00D12D76">
        <w:rPr>
          <w:bCs/>
        </w:rPr>
        <w:t>Click on the Create New button in the box circled:</w:t>
      </w:r>
    </w:p>
    <w:p w14:paraId="78AAD26B" w14:textId="77777777" w:rsidR="00D12D76" w:rsidRDefault="00D12D76" w:rsidP="00E568DA">
      <w:pPr>
        <w:rPr>
          <w:bCs/>
        </w:rPr>
      </w:pPr>
      <w:r w:rsidRPr="00D12D76">
        <w:rPr>
          <w:bCs/>
        </w:rPr>
        <w:pict w14:anchorId="27799176">
          <v:shape id="_x0000_i1035" type="#_x0000_t75" style="width:296.85pt;height:229.6pt">
            <v:imagedata r:id="rId19" o:title=""/>
          </v:shape>
        </w:pict>
      </w:r>
    </w:p>
    <w:p w14:paraId="4C575732" w14:textId="77777777" w:rsidR="00D12D76" w:rsidRDefault="00D12D76" w:rsidP="00E568DA">
      <w:pPr>
        <w:rPr>
          <w:bCs/>
        </w:rPr>
      </w:pPr>
    </w:p>
    <w:p w14:paraId="4DB8EA9C" w14:textId="77777777" w:rsidR="00442A7C" w:rsidRDefault="00442A7C" w:rsidP="00E568DA">
      <w:pPr>
        <w:rPr>
          <w:bCs/>
        </w:rPr>
      </w:pPr>
    </w:p>
    <w:p w14:paraId="4A0D4D85" w14:textId="77777777" w:rsidR="00442A7C" w:rsidRDefault="00442A7C" w:rsidP="00E568DA">
      <w:pPr>
        <w:rPr>
          <w:bCs/>
        </w:rPr>
      </w:pPr>
    </w:p>
    <w:p w14:paraId="7B63C1E7" w14:textId="77777777" w:rsidR="009D31BA" w:rsidRPr="009D31BA" w:rsidRDefault="009D31BA" w:rsidP="00D12D76">
      <w:pPr>
        <w:numPr>
          <w:ilvl w:val="0"/>
          <w:numId w:val="14"/>
        </w:numPr>
        <w:rPr>
          <w:bCs/>
        </w:rPr>
      </w:pPr>
      <w:r>
        <w:rPr>
          <w:bCs/>
        </w:rPr>
        <w:t>2009-09-21 New setting called “</w:t>
      </w:r>
      <w:r w:rsidRPr="009D31BA">
        <w:rPr>
          <w:bCs/>
        </w:rPr>
        <w:t>DrivePathOfPosterGraphicFiles</w:t>
      </w:r>
      <w:r>
        <w:rPr>
          <w:bCs/>
        </w:rPr>
        <w:t xml:space="preserve">”, defaults to Thumbnail folder.  Allows high resolution poster images for new Format 2 Word output format and separate thumbnail output for format 1 avail formats. </w:t>
      </w:r>
    </w:p>
    <w:p w14:paraId="3D12ABE9" w14:textId="77777777" w:rsidR="009D31BA" w:rsidRDefault="009D31BA" w:rsidP="00E568DA">
      <w:pPr>
        <w:rPr>
          <w:bCs/>
        </w:rPr>
      </w:pPr>
    </w:p>
    <w:p w14:paraId="1059E031" w14:textId="77777777" w:rsidR="006263C5" w:rsidRDefault="006263C5" w:rsidP="00D12D76">
      <w:pPr>
        <w:numPr>
          <w:ilvl w:val="0"/>
          <w:numId w:val="14"/>
        </w:numPr>
        <w:rPr>
          <w:bCs/>
        </w:rPr>
      </w:pPr>
      <w:r>
        <w:rPr>
          <w:bCs/>
        </w:rPr>
        <w:t>2009-09-21 Comet Avail reports has checkbox option to include/exclude conflict checks</w:t>
      </w:r>
    </w:p>
    <w:p w14:paraId="62FA6368" w14:textId="77777777" w:rsidR="006263C5" w:rsidRDefault="006263C5" w:rsidP="00E568DA">
      <w:pPr>
        <w:rPr>
          <w:bCs/>
        </w:rPr>
      </w:pPr>
    </w:p>
    <w:p w14:paraId="3AC4820B" w14:textId="77777777" w:rsidR="00132CBB" w:rsidRDefault="00132CBB" w:rsidP="00D12D76">
      <w:pPr>
        <w:numPr>
          <w:ilvl w:val="0"/>
          <w:numId w:val="13"/>
        </w:numPr>
        <w:rPr>
          <w:bCs/>
        </w:rPr>
      </w:pPr>
      <w:r>
        <w:rPr>
          <w:bCs/>
        </w:rPr>
        <w:t>“Excel Application Error” problem resolved</w:t>
      </w:r>
    </w:p>
    <w:p w14:paraId="1FBDC41A" w14:textId="77777777" w:rsidR="00132CBB" w:rsidRDefault="00132CBB" w:rsidP="00E568DA">
      <w:pPr>
        <w:rPr>
          <w:bCs/>
        </w:rPr>
      </w:pPr>
    </w:p>
    <w:p w14:paraId="4E18E6B2" w14:textId="77777777" w:rsidR="0068291D" w:rsidRDefault="0068291D" w:rsidP="00025F67">
      <w:pPr>
        <w:numPr>
          <w:ilvl w:val="0"/>
          <w:numId w:val="7"/>
        </w:numPr>
        <w:rPr>
          <w:bCs/>
        </w:rPr>
      </w:pPr>
      <w:r>
        <w:rPr>
          <w:bCs/>
        </w:rPr>
        <w:lastRenderedPageBreak/>
        <w:t xml:space="preserve">Currency update points to Update folder on server instead of C:\CometRights, done for new all-version update procedure where update file 1998Exch.mdb is copied to the server Update folder. </w:t>
      </w:r>
    </w:p>
    <w:p w14:paraId="2C571EEB" w14:textId="77777777" w:rsidR="0068291D" w:rsidRDefault="0068291D" w:rsidP="0068291D">
      <w:pPr>
        <w:ind w:left="720"/>
        <w:rPr>
          <w:bCs/>
        </w:rPr>
      </w:pPr>
    </w:p>
    <w:p w14:paraId="2549F890" w14:textId="77777777" w:rsidR="0068291D" w:rsidRDefault="00D35019" w:rsidP="00E568DA">
      <w:pPr>
        <w:rPr>
          <w:bCs/>
        </w:rPr>
      </w:pPr>
      <w:r>
        <w:rPr>
          <w:bCs/>
        </w:rPr>
        <w:t>Release E: Producer Code pulldown added to title list</w:t>
      </w:r>
    </w:p>
    <w:p w14:paraId="21D161F7" w14:textId="77777777" w:rsidR="00D35019" w:rsidRDefault="00D35019" w:rsidP="00E568DA">
      <w:pPr>
        <w:rPr>
          <w:bCs/>
        </w:rPr>
      </w:pPr>
      <w:r>
        <w:rPr>
          <w:bCs/>
        </w:rPr>
        <w:t xml:space="preserve">Royalty “Adjustment </w:t>
      </w:r>
      <w:proofErr w:type="spellStart"/>
      <w:proofErr w:type="gramStart"/>
      <w:r>
        <w:rPr>
          <w:bCs/>
        </w:rPr>
        <w:t>Type”pulldown</w:t>
      </w:r>
      <w:proofErr w:type="spellEnd"/>
      <w:proofErr w:type="gramEnd"/>
      <w:r>
        <w:rPr>
          <w:bCs/>
        </w:rPr>
        <w:t xml:space="preserve"> removed from share screen, only one type supported.  (Contract Title, no longer all title)</w:t>
      </w:r>
    </w:p>
    <w:p w14:paraId="78A7F64D" w14:textId="77777777" w:rsidR="00BD4C9B" w:rsidRDefault="00BD4C9B" w:rsidP="00E568DA">
      <w:pPr>
        <w:rPr>
          <w:bCs/>
        </w:rPr>
      </w:pPr>
    </w:p>
    <w:p w14:paraId="5EA0E34E" w14:textId="77777777" w:rsidR="00BD4C9B" w:rsidRDefault="00BD4C9B" w:rsidP="00E568DA">
      <w:pPr>
        <w:rPr>
          <w:bCs/>
        </w:rPr>
      </w:pPr>
      <w:r>
        <w:rPr>
          <w:bCs/>
        </w:rPr>
        <w:t>New royalty exception report #267 “</w:t>
      </w:r>
      <w:r w:rsidRPr="00BD4C9B">
        <w:rPr>
          <w:bCs/>
        </w:rPr>
        <w:t>List of Royalty Receipt adjustments with no date</w:t>
      </w:r>
      <w:r>
        <w:rPr>
          <w:bCs/>
        </w:rPr>
        <w:t>”</w:t>
      </w:r>
    </w:p>
    <w:p w14:paraId="5D3D0093" w14:textId="77777777" w:rsidR="00D35019" w:rsidRDefault="00D35019" w:rsidP="00E568DA">
      <w:pPr>
        <w:rPr>
          <w:bCs/>
        </w:rPr>
      </w:pPr>
    </w:p>
    <w:p w14:paraId="084BEE0F" w14:textId="77777777" w:rsidR="0068291D" w:rsidRDefault="00781E37" w:rsidP="00E568DA">
      <w:pPr>
        <w:rPr>
          <w:bCs/>
        </w:rPr>
      </w:pPr>
      <w:r>
        <w:rPr>
          <w:bCs/>
        </w:rPr>
        <w:t xml:space="preserve">Comet has a new option to include obsolete/inactive titles in the “not included” title list. </w:t>
      </w:r>
    </w:p>
    <w:p w14:paraId="63F86314" w14:textId="77777777" w:rsidR="00781E37" w:rsidRDefault="00D12D76" w:rsidP="00E568DA">
      <w:pPr>
        <w:rPr>
          <w:bCs/>
        </w:rPr>
      </w:pPr>
      <w:r w:rsidRPr="00D12D76">
        <w:rPr>
          <w:bCs/>
        </w:rPr>
        <w:pict w14:anchorId="7DCE1DF3">
          <v:shape id="_x0000_i1036" type="#_x0000_t75" style="width:279.15pt;height:105.3pt">
            <v:imagedata r:id="rId20" o:title=""/>
          </v:shape>
        </w:pict>
      </w:r>
    </w:p>
    <w:p w14:paraId="4AFDE7DB" w14:textId="77777777" w:rsidR="00781E37" w:rsidRDefault="00781E37" w:rsidP="00E568DA">
      <w:pPr>
        <w:rPr>
          <w:bCs/>
        </w:rPr>
      </w:pPr>
    </w:p>
    <w:p w14:paraId="09B4A47D" w14:textId="77777777" w:rsidR="0068291D" w:rsidRPr="0068291D" w:rsidRDefault="0068291D" w:rsidP="00E568DA">
      <w:pPr>
        <w:rPr>
          <w:b/>
          <w:bCs/>
          <w:u w:val="single"/>
        </w:rPr>
      </w:pPr>
      <w:r w:rsidRPr="0068291D">
        <w:rPr>
          <w:b/>
          <w:bCs/>
          <w:u w:val="single"/>
        </w:rPr>
        <w:t>2009-08-05</w:t>
      </w:r>
    </w:p>
    <w:p w14:paraId="72170069" w14:textId="77777777" w:rsidR="0068291D" w:rsidRDefault="0068291D" w:rsidP="00025F67">
      <w:pPr>
        <w:numPr>
          <w:ilvl w:val="0"/>
          <w:numId w:val="6"/>
        </w:numPr>
        <w:rPr>
          <w:bCs/>
        </w:rPr>
      </w:pPr>
      <w:r>
        <w:rPr>
          <w:bCs/>
        </w:rPr>
        <w:t xml:space="preserve">New “All version Combined” update file procedure, available on the Comet update web page, simplifying new Comet releases at multi-user installations. The simplified procedure is to download and unzip the files to the shared </w:t>
      </w:r>
      <w:proofErr w:type="gramStart"/>
      <w:r>
        <w:rPr>
          <w:bCs/>
        </w:rPr>
        <w:t>“..</w:t>
      </w:r>
      <w:proofErr w:type="gramEnd"/>
      <w:r>
        <w:rPr>
          <w:bCs/>
        </w:rPr>
        <w:t xml:space="preserve">\Comet\Update” folder on the server. Comet will automatically update the clients. </w:t>
      </w:r>
    </w:p>
    <w:p w14:paraId="7777B467" w14:textId="77777777" w:rsidR="0068291D" w:rsidRDefault="0068291D" w:rsidP="00025F67">
      <w:pPr>
        <w:numPr>
          <w:ilvl w:val="0"/>
          <w:numId w:val="6"/>
        </w:numPr>
        <w:rPr>
          <w:bCs/>
        </w:rPr>
      </w:pPr>
      <w:r>
        <w:rPr>
          <w:bCs/>
        </w:rPr>
        <w:t xml:space="preserve">Extensive improvements to Royalty </w:t>
      </w:r>
      <w:proofErr w:type="gramStart"/>
      <w:r>
        <w:rPr>
          <w:bCs/>
        </w:rPr>
        <w:t>Reporting,  documented</w:t>
      </w:r>
      <w:proofErr w:type="gramEnd"/>
      <w:r>
        <w:rPr>
          <w:bCs/>
        </w:rPr>
        <w:t xml:space="preserve"> elsewhere</w:t>
      </w:r>
    </w:p>
    <w:p w14:paraId="4650C1CA" w14:textId="77777777" w:rsidR="0068291D" w:rsidRDefault="0068291D" w:rsidP="00025F67">
      <w:pPr>
        <w:numPr>
          <w:ilvl w:val="0"/>
          <w:numId w:val="6"/>
        </w:numPr>
        <w:rPr>
          <w:bCs/>
        </w:rPr>
      </w:pPr>
      <w:r>
        <w:rPr>
          <w:bCs/>
        </w:rPr>
        <w:t>Fix and improvements to Notice of Delivery functionality</w:t>
      </w:r>
    </w:p>
    <w:p w14:paraId="23272B4A" w14:textId="77777777" w:rsidR="0068291D" w:rsidRDefault="0068291D" w:rsidP="00E568DA">
      <w:pPr>
        <w:rPr>
          <w:bCs/>
        </w:rPr>
      </w:pPr>
    </w:p>
    <w:p w14:paraId="30B4859C" w14:textId="77777777" w:rsidR="00300356" w:rsidRDefault="00300356" w:rsidP="00025F67">
      <w:pPr>
        <w:numPr>
          <w:ilvl w:val="0"/>
          <w:numId w:val="6"/>
        </w:numPr>
        <w:rPr>
          <w:bCs/>
        </w:rPr>
      </w:pPr>
      <w:r>
        <w:rPr>
          <w:bCs/>
        </w:rPr>
        <w:t>Comet currency table updated for new currencies:</w:t>
      </w:r>
    </w:p>
    <w:p w14:paraId="18766F57" w14:textId="77777777" w:rsidR="00300356" w:rsidRDefault="00300356" w:rsidP="00E568DA">
      <w:pPr>
        <w:rPr>
          <w:bCs/>
        </w:rPr>
      </w:pPr>
    </w:p>
    <w:p w14:paraId="129A22E4" w14:textId="77777777" w:rsidR="00300356" w:rsidRDefault="00300356" w:rsidP="00025F67">
      <w:pPr>
        <w:numPr>
          <w:ilvl w:val="1"/>
          <w:numId w:val="6"/>
        </w:numPr>
        <w:rPr>
          <w:bCs/>
        </w:rPr>
      </w:pPr>
      <w:r>
        <w:rPr>
          <w:bCs/>
        </w:rPr>
        <w:t xml:space="preserve">ARS </w:t>
      </w:r>
      <w:r w:rsidRPr="00300356">
        <w:rPr>
          <w:bCs/>
        </w:rPr>
        <w:t>Argentine peso</w:t>
      </w:r>
      <w:r w:rsidR="009548CE">
        <w:rPr>
          <w:bCs/>
        </w:rPr>
        <w:t xml:space="preserve"> </w:t>
      </w:r>
    </w:p>
    <w:p w14:paraId="3E3946D7" w14:textId="77777777" w:rsidR="00300356" w:rsidRDefault="00300356" w:rsidP="00025F67">
      <w:pPr>
        <w:numPr>
          <w:ilvl w:val="1"/>
          <w:numId w:val="6"/>
        </w:numPr>
        <w:rPr>
          <w:bCs/>
        </w:rPr>
      </w:pPr>
      <w:r w:rsidRPr="00300356">
        <w:rPr>
          <w:bCs/>
        </w:rPr>
        <w:t>TRY Turkish lira</w:t>
      </w:r>
    </w:p>
    <w:p w14:paraId="365F80EB" w14:textId="77777777" w:rsidR="00300356" w:rsidRDefault="00A6338C" w:rsidP="00025F67">
      <w:pPr>
        <w:numPr>
          <w:ilvl w:val="1"/>
          <w:numId w:val="6"/>
        </w:numPr>
        <w:rPr>
          <w:bCs/>
        </w:rPr>
      </w:pPr>
      <w:r w:rsidRPr="009548CE">
        <w:rPr>
          <w:bCs/>
        </w:rPr>
        <w:t xml:space="preserve">VEF Venezuelan bolivar </w:t>
      </w:r>
      <w:proofErr w:type="spellStart"/>
      <w:r w:rsidRPr="009548CE">
        <w:rPr>
          <w:bCs/>
        </w:rPr>
        <w:t>fuerte</w:t>
      </w:r>
      <w:proofErr w:type="spellEnd"/>
      <w:r w:rsidR="0068291D" w:rsidRPr="009548CE">
        <w:rPr>
          <w:bCs/>
        </w:rPr>
        <w:t xml:space="preserve"> </w:t>
      </w:r>
    </w:p>
    <w:p w14:paraId="08E196E9" w14:textId="77777777" w:rsidR="009548CE" w:rsidRPr="009548CE" w:rsidRDefault="009548CE" w:rsidP="009548CE">
      <w:pPr>
        <w:ind w:left="1440"/>
        <w:rPr>
          <w:bCs/>
        </w:rPr>
      </w:pPr>
    </w:p>
    <w:p w14:paraId="51670C76" w14:textId="77777777" w:rsidR="00930DD6" w:rsidRDefault="00930DD6" w:rsidP="00025F67">
      <w:pPr>
        <w:numPr>
          <w:ilvl w:val="0"/>
          <w:numId w:val="7"/>
        </w:numPr>
        <w:rPr>
          <w:bCs/>
        </w:rPr>
      </w:pPr>
      <w:r>
        <w:rPr>
          <w:bCs/>
        </w:rPr>
        <w:t>Connection failure messages greatly improved</w:t>
      </w:r>
    </w:p>
    <w:p w14:paraId="7955DDF6" w14:textId="77777777" w:rsidR="0068291D" w:rsidRDefault="0068291D" w:rsidP="00025F67">
      <w:pPr>
        <w:numPr>
          <w:ilvl w:val="0"/>
          <w:numId w:val="7"/>
        </w:numPr>
        <w:rPr>
          <w:bCs/>
        </w:rPr>
      </w:pPr>
      <w:proofErr w:type="spellStart"/>
      <w:r>
        <w:rPr>
          <w:bCs/>
        </w:rPr>
        <w:t>Quickbooks</w:t>
      </w:r>
      <w:proofErr w:type="spellEnd"/>
      <w:r>
        <w:rPr>
          <w:bCs/>
        </w:rPr>
        <w:t xml:space="preserve"> accounting export functionality has new buttons to </w:t>
      </w:r>
      <w:proofErr w:type="gramStart"/>
      <w:r>
        <w:rPr>
          <w:bCs/>
        </w:rPr>
        <w:t>open up</w:t>
      </w:r>
      <w:proofErr w:type="gramEnd"/>
      <w:r>
        <w:rPr>
          <w:bCs/>
        </w:rPr>
        <w:t xml:space="preserve"> Receipt/Invoice export status table for re-exporting purposes</w:t>
      </w:r>
    </w:p>
    <w:p w14:paraId="6E311110" w14:textId="77777777" w:rsidR="00930DD6" w:rsidRDefault="00930DD6" w:rsidP="00E568DA">
      <w:pPr>
        <w:rPr>
          <w:bCs/>
        </w:rPr>
      </w:pPr>
    </w:p>
    <w:p w14:paraId="6B6885D3" w14:textId="77777777" w:rsidR="00310CB1" w:rsidRDefault="00310CB1" w:rsidP="00025F67">
      <w:pPr>
        <w:numPr>
          <w:ilvl w:val="0"/>
          <w:numId w:val="7"/>
        </w:numPr>
        <w:rPr>
          <w:bCs/>
        </w:rPr>
      </w:pPr>
      <w:r>
        <w:rPr>
          <w:bCs/>
        </w:rPr>
        <w:t>Disabled the rights entry popup “</w:t>
      </w:r>
      <w:r w:rsidRPr="00310CB1">
        <w:rPr>
          <w:bCs/>
        </w:rPr>
        <w:t>Comet will use the start date override from the term tab, since one has been entered</w:t>
      </w:r>
      <w:r>
        <w:rPr>
          <w:bCs/>
        </w:rPr>
        <w:t>”</w:t>
      </w:r>
    </w:p>
    <w:p w14:paraId="23E2E8F7" w14:textId="77777777" w:rsidR="00930DD6" w:rsidRDefault="00930DD6" w:rsidP="00E568DA">
      <w:pPr>
        <w:rPr>
          <w:bCs/>
        </w:rPr>
      </w:pPr>
    </w:p>
    <w:p w14:paraId="53100234" w14:textId="77777777" w:rsidR="006C4552" w:rsidRDefault="006C4552" w:rsidP="00025F67">
      <w:pPr>
        <w:numPr>
          <w:ilvl w:val="0"/>
          <w:numId w:val="7"/>
        </w:numPr>
        <w:rPr>
          <w:bCs/>
        </w:rPr>
      </w:pPr>
      <w:r>
        <w:rPr>
          <w:bCs/>
        </w:rPr>
        <w:t xml:space="preserve">Office 2007 users have new “X” at upper left corner of Title Setup screen to close the form due to reports of a slow close cycle. </w:t>
      </w:r>
    </w:p>
    <w:p w14:paraId="283160C1" w14:textId="77777777" w:rsidR="006C4552" w:rsidRDefault="006C4552" w:rsidP="00E568DA">
      <w:pPr>
        <w:rPr>
          <w:bCs/>
        </w:rPr>
      </w:pPr>
      <w:r>
        <w:rPr>
          <w:bCs/>
        </w:rPr>
        <w:lastRenderedPageBreak/>
        <w:pict w14:anchorId="675FFB6C">
          <v:shape id="_x0000_i1037" type="#_x0000_t75" style="width:317.9pt;height:161pt">
            <v:imagedata r:id="rId21" o:title=""/>
          </v:shape>
        </w:pict>
      </w:r>
    </w:p>
    <w:p w14:paraId="09599A1E" w14:textId="77777777" w:rsidR="006C4552" w:rsidRDefault="006C4552" w:rsidP="00E568DA">
      <w:pPr>
        <w:rPr>
          <w:bCs/>
        </w:rPr>
      </w:pPr>
    </w:p>
    <w:p w14:paraId="4D7A27BF" w14:textId="77777777" w:rsidR="00F12FE3" w:rsidRDefault="00F12FE3" w:rsidP="00025F67">
      <w:pPr>
        <w:numPr>
          <w:ilvl w:val="0"/>
          <w:numId w:val="8"/>
        </w:numPr>
        <w:rPr>
          <w:bCs/>
        </w:rPr>
      </w:pPr>
      <w:r>
        <w:rPr>
          <w:bCs/>
        </w:rPr>
        <w:t>New variable in Local System settings “</w:t>
      </w:r>
      <w:r w:rsidR="002D2325">
        <w:rPr>
          <w:bCs/>
        </w:rPr>
        <w:t>Include</w:t>
      </w:r>
      <w:r w:rsidRPr="00F12FE3">
        <w:rPr>
          <w:bCs/>
        </w:rPr>
        <w:t xml:space="preserve"> Negative Invoice IDs</w:t>
      </w:r>
      <w:r>
        <w:rPr>
          <w:bCs/>
        </w:rPr>
        <w:t xml:space="preserve">” to </w:t>
      </w:r>
      <w:r w:rsidR="002D2325">
        <w:rPr>
          <w:bCs/>
        </w:rPr>
        <w:t xml:space="preserve">include or </w:t>
      </w:r>
      <w:r>
        <w:rPr>
          <w:bCs/>
        </w:rPr>
        <w:t xml:space="preserve">block negative invoice numbers in receipt application screen.  Set to </w:t>
      </w:r>
      <w:r w:rsidR="002D2325">
        <w:rPr>
          <w:bCs/>
        </w:rPr>
        <w:t>No</w:t>
      </w:r>
      <w:r>
        <w:rPr>
          <w:bCs/>
        </w:rPr>
        <w:t xml:space="preserve"> (block) by default. </w:t>
      </w:r>
    </w:p>
    <w:p w14:paraId="6253A2BA" w14:textId="77777777" w:rsidR="00F12FE3" w:rsidRDefault="00F12FE3" w:rsidP="00E568DA">
      <w:pPr>
        <w:rPr>
          <w:bCs/>
        </w:rPr>
      </w:pPr>
    </w:p>
    <w:p w14:paraId="3D969954" w14:textId="77777777" w:rsidR="00F12FE3" w:rsidRDefault="00F12FE3" w:rsidP="00025F67">
      <w:pPr>
        <w:numPr>
          <w:ilvl w:val="0"/>
          <w:numId w:val="8"/>
        </w:numPr>
        <w:rPr>
          <w:bCs/>
        </w:rPr>
      </w:pPr>
      <w:r>
        <w:rPr>
          <w:bCs/>
        </w:rPr>
        <w:t xml:space="preserve">Report 141 has new checkbox option to allow invoices with negative ID. </w:t>
      </w:r>
    </w:p>
    <w:p w14:paraId="55850A99" w14:textId="77777777" w:rsidR="00F12FE3" w:rsidRDefault="00F12FE3" w:rsidP="00E568DA">
      <w:pPr>
        <w:rPr>
          <w:bCs/>
        </w:rPr>
      </w:pPr>
    </w:p>
    <w:p w14:paraId="6BF47CAD" w14:textId="77777777" w:rsidR="00F12FE3" w:rsidRDefault="00F12FE3" w:rsidP="00E568DA">
      <w:pPr>
        <w:rPr>
          <w:bCs/>
        </w:rPr>
      </w:pPr>
    </w:p>
    <w:p w14:paraId="1D5FE4AC" w14:textId="77777777" w:rsidR="00F12FE3" w:rsidRDefault="00F12FE3" w:rsidP="00E568DA">
      <w:pPr>
        <w:rPr>
          <w:bCs/>
        </w:rPr>
      </w:pPr>
    </w:p>
    <w:p w14:paraId="02D45CA6" w14:textId="77777777" w:rsidR="00FA440A" w:rsidRDefault="00FA440A" w:rsidP="00025F67">
      <w:pPr>
        <w:numPr>
          <w:ilvl w:val="0"/>
          <w:numId w:val="8"/>
        </w:numPr>
        <w:rPr>
          <w:bCs/>
        </w:rPr>
      </w:pPr>
      <w:r>
        <w:rPr>
          <w:bCs/>
        </w:rPr>
        <w:t xml:space="preserve">Improvements to company name change.  Merge and name change combined. </w:t>
      </w:r>
    </w:p>
    <w:p w14:paraId="27F30EB1" w14:textId="77777777" w:rsidR="00FA440A" w:rsidRDefault="00FA440A" w:rsidP="00E568DA">
      <w:pPr>
        <w:rPr>
          <w:bCs/>
        </w:rPr>
      </w:pPr>
      <w:r>
        <w:rPr>
          <w:bCs/>
        </w:rPr>
        <w:pict w14:anchorId="683D39B8">
          <v:shape id="_x0000_i1038" type="#_x0000_t75" style="width:431.3pt;height:266.25pt">
            <v:imagedata r:id="rId22" o:title=""/>
          </v:shape>
        </w:pict>
      </w:r>
    </w:p>
    <w:p w14:paraId="32877399" w14:textId="77777777" w:rsidR="00FA440A" w:rsidRDefault="00FA440A" w:rsidP="00E568DA">
      <w:pPr>
        <w:rPr>
          <w:bCs/>
        </w:rPr>
      </w:pPr>
    </w:p>
    <w:p w14:paraId="116A7027" w14:textId="77777777" w:rsidR="00FA440A" w:rsidRDefault="00195D93" w:rsidP="00E568DA">
      <w:pPr>
        <w:rPr>
          <w:bCs/>
        </w:rPr>
      </w:pPr>
      <w:r>
        <w:rPr>
          <w:bCs/>
        </w:rPr>
        <w:t xml:space="preserve">New tab in Company Profile </w:t>
      </w:r>
      <w:r w:rsidR="00FA440A">
        <w:rPr>
          <w:bCs/>
        </w:rPr>
        <w:t xml:space="preserve">screen to perform multi-company rename and/or merge. Values may be pasted in from an external spreadsheet. </w:t>
      </w:r>
    </w:p>
    <w:p w14:paraId="3B5D4B28" w14:textId="77777777" w:rsidR="00FA440A" w:rsidRDefault="00FA440A" w:rsidP="00E568DA">
      <w:pPr>
        <w:rPr>
          <w:bCs/>
        </w:rPr>
      </w:pPr>
    </w:p>
    <w:p w14:paraId="0518FFD9" w14:textId="77777777" w:rsidR="00FA440A" w:rsidRDefault="00FA440A" w:rsidP="00E568DA">
      <w:pPr>
        <w:rPr>
          <w:bCs/>
        </w:rPr>
      </w:pPr>
      <w:r>
        <w:rPr>
          <w:bCs/>
        </w:rPr>
        <w:lastRenderedPageBreak/>
        <w:pict w14:anchorId="0FDC3FBB">
          <v:shape id="_x0000_i1039" type="#_x0000_t75" style="width:352.55pt;height:150.8pt">
            <v:imagedata r:id="rId23" o:title=""/>
          </v:shape>
        </w:pict>
      </w:r>
    </w:p>
    <w:p w14:paraId="2B1BD1CB" w14:textId="77777777" w:rsidR="00195D93" w:rsidRDefault="00195D93" w:rsidP="00E568DA">
      <w:pPr>
        <w:rPr>
          <w:bCs/>
        </w:rPr>
      </w:pPr>
    </w:p>
    <w:p w14:paraId="654C27CB" w14:textId="77777777" w:rsidR="00195D93" w:rsidRDefault="00195D93" w:rsidP="00E568DA">
      <w:pPr>
        <w:rPr>
          <w:bCs/>
        </w:rPr>
      </w:pPr>
      <w:r>
        <w:rPr>
          <w:bCs/>
        </w:rPr>
        <w:t>This is what the worksheet looks like:</w:t>
      </w:r>
    </w:p>
    <w:p w14:paraId="359F88CA" w14:textId="77777777" w:rsidR="00195D93" w:rsidRDefault="00195D93" w:rsidP="00E568DA">
      <w:pPr>
        <w:rPr>
          <w:bCs/>
        </w:rPr>
      </w:pPr>
      <w:r>
        <w:rPr>
          <w:bCs/>
        </w:rPr>
        <w:pict w14:anchorId="0F85B464">
          <v:shape id="_x0000_i1040" type="#_x0000_t75" style="width:6in;height:88.3pt">
            <v:imagedata r:id="rId24" o:title=""/>
          </v:shape>
        </w:pict>
      </w:r>
    </w:p>
    <w:p w14:paraId="444F7264" w14:textId="77777777" w:rsidR="00195D93" w:rsidRDefault="00195D93" w:rsidP="00E568DA">
      <w:pPr>
        <w:rPr>
          <w:bCs/>
        </w:rPr>
      </w:pPr>
    </w:p>
    <w:p w14:paraId="36E44B55" w14:textId="77777777" w:rsidR="00195D93" w:rsidRDefault="00195D93" w:rsidP="00E568DA">
      <w:pPr>
        <w:rPr>
          <w:bCs/>
        </w:rPr>
      </w:pPr>
    </w:p>
    <w:p w14:paraId="6F2AD005" w14:textId="77777777" w:rsidR="002F0C3F" w:rsidRDefault="002F0C3F" w:rsidP="00025F67">
      <w:pPr>
        <w:numPr>
          <w:ilvl w:val="0"/>
          <w:numId w:val="9"/>
        </w:numPr>
        <w:rPr>
          <w:bCs/>
        </w:rPr>
      </w:pPr>
      <w:r>
        <w:rPr>
          <w:bCs/>
        </w:rPr>
        <w:t>In initial Receipt application view, negative receipts and negative invoices are blocked from view</w:t>
      </w:r>
    </w:p>
    <w:p w14:paraId="587B4F58" w14:textId="77777777" w:rsidR="002F0C3F" w:rsidRDefault="002F0C3F" w:rsidP="00E568DA">
      <w:pPr>
        <w:rPr>
          <w:bCs/>
        </w:rPr>
      </w:pPr>
    </w:p>
    <w:p w14:paraId="0D9FC2CE" w14:textId="77777777" w:rsidR="002F0C3F" w:rsidRDefault="002F0C3F" w:rsidP="00025F67">
      <w:pPr>
        <w:numPr>
          <w:ilvl w:val="0"/>
          <w:numId w:val="9"/>
        </w:numPr>
        <w:rPr>
          <w:bCs/>
        </w:rPr>
      </w:pPr>
      <w:r>
        <w:rPr>
          <w:bCs/>
        </w:rPr>
        <w:t xml:space="preserve">New options on Royalty Report application of receipts to royalty right categories to auto-link to Royalty Pass-through category. </w:t>
      </w:r>
    </w:p>
    <w:p w14:paraId="45011886" w14:textId="77777777" w:rsidR="00D87B89" w:rsidRDefault="00D87B89" w:rsidP="00E568DA">
      <w:pPr>
        <w:rPr>
          <w:bCs/>
        </w:rPr>
      </w:pPr>
      <w:r>
        <w:rPr>
          <w:bCs/>
        </w:rPr>
        <w:pict w14:anchorId="1766106F">
          <v:shape id="_x0000_i1041" type="#_x0000_t75" style="width:242.5pt;height:98.5pt">
            <v:imagedata r:id="rId25" o:title=""/>
          </v:shape>
        </w:pict>
      </w:r>
    </w:p>
    <w:p w14:paraId="5616B5A7" w14:textId="77777777" w:rsidR="002F0C3F" w:rsidRDefault="002F0C3F" w:rsidP="00E568DA">
      <w:pPr>
        <w:rPr>
          <w:bCs/>
        </w:rPr>
      </w:pPr>
    </w:p>
    <w:p w14:paraId="4043B3DD" w14:textId="77777777" w:rsidR="002F0C3F" w:rsidRDefault="002F0C3F" w:rsidP="00E568DA">
      <w:pPr>
        <w:rPr>
          <w:bCs/>
        </w:rPr>
      </w:pPr>
    </w:p>
    <w:p w14:paraId="00580A38" w14:textId="77777777" w:rsidR="004778E6" w:rsidRPr="004778E6" w:rsidRDefault="004778E6" w:rsidP="00025F67">
      <w:pPr>
        <w:numPr>
          <w:ilvl w:val="0"/>
          <w:numId w:val="10"/>
        </w:numPr>
        <w:rPr>
          <w:bCs/>
        </w:rPr>
      </w:pPr>
      <w:r>
        <w:rPr>
          <w:bCs/>
        </w:rPr>
        <w:t>Print/preview NOD shows updated NOD date on screen</w:t>
      </w:r>
    </w:p>
    <w:p w14:paraId="4C8CAD28" w14:textId="77777777" w:rsidR="00424CC7" w:rsidRPr="004778E6" w:rsidRDefault="00424CC7" w:rsidP="00E568DA">
      <w:pPr>
        <w:rPr>
          <w:bCs/>
        </w:rPr>
      </w:pPr>
    </w:p>
    <w:tbl>
      <w:tblPr>
        <w:tblW w:w="7340" w:type="dxa"/>
        <w:tblCellMar>
          <w:left w:w="0" w:type="dxa"/>
          <w:right w:w="0" w:type="dxa"/>
        </w:tblCellMar>
        <w:tblLook w:val="04A0" w:firstRow="1" w:lastRow="0" w:firstColumn="1" w:lastColumn="0" w:noHBand="0" w:noVBand="1"/>
      </w:tblPr>
      <w:tblGrid>
        <w:gridCol w:w="7340"/>
      </w:tblGrid>
      <w:tr w:rsidR="00424CC7" w:rsidRPr="00424CC7" w14:paraId="46B4A39F" w14:textId="77777777" w:rsidTr="00424CC7">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4BDBB4D1" w14:textId="77777777" w:rsidR="00424CC7" w:rsidRPr="00424CC7" w:rsidRDefault="00424CC7" w:rsidP="00424CC7">
            <w:pPr>
              <w:rPr>
                <w:rFonts w:ascii="Arial" w:hAnsi="Arial" w:cs="Arial"/>
                <w:color w:val="000000"/>
              </w:rPr>
            </w:pPr>
            <w:r w:rsidRPr="00424CC7">
              <w:rPr>
                <w:rFonts w:ascii="Arial" w:hAnsi="Arial" w:cs="Arial"/>
                <w:color w:val="000000"/>
              </w:rPr>
              <w:t>Server Update Sequence #49770</w:t>
            </w:r>
          </w:p>
        </w:tc>
      </w:tr>
      <w:tr w:rsidR="00424CC7" w:rsidRPr="00424CC7" w14:paraId="65DCBECA" w14:textId="77777777" w:rsidTr="00424CC7">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AF5E19B" w14:textId="77777777" w:rsidR="00424CC7" w:rsidRPr="00424CC7" w:rsidRDefault="00424CC7" w:rsidP="00424CC7">
            <w:pPr>
              <w:rPr>
                <w:rFonts w:ascii="Arial" w:hAnsi="Arial" w:cs="Arial"/>
                <w:color w:val="000000"/>
              </w:rPr>
            </w:pPr>
            <w:r w:rsidRPr="00424CC7">
              <w:rPr>
                <w:rFonts w:ascii="Arial" w:hAnsi="Arial" w:cs="Arial"/>
                <w:color w:val="000000"/>
              </w:rPr>
              <w:t>Frontend Update Release F on 2009-06-04</w:t>
            </w:r>
          </w:p>
        </w:tc>
      </w:tr>
    </w:tbl>
    <w:p w14:paraId="60903029" w14:textId="77777777" w:rsidR="00424CC7" w:rsidRDefault="00424CC7" w:rsidP="00E568DA">
      <w:pPr>
        <w:rPr>
          <w:b/>
          <w:bCs/>
          <w:u w:val="single"/>
        </w:rPr>
      </w:pPr>
    </w:p>
    <w:p w14:paraId="16947A80" w14:textId="77777777" w:rsidR="00424CC7" w:rsidRPr="00424CC7" w:rsidRDefault="00424CC7" w:rsidP="00E568DA">
      <w:pPr>
        <w:rPr>
          <w:bCs/>
          <w:u w:val="single"/>
        </w:rPr>
      </w:pPr>
      <w:r w:rsidRPr="00424CC7">
        <w:rPr>
          <w:bCs/>
          <w:u w:val="single"/>
        </w:rPr>
        <w:t>Incorporation of new terms in royalty reporting:</w:t>
      </w:r>
    </w:p>
    <w:p w14:paraId="592C3FAA" w14:textId="77777777" w:rsidR="00424CC7" w:rsidRPr="00424CC7" w:rsidRDefault="00424CC7" w:rsidP="00025F67">
      <w:pPr>
        <w:numPr>
          <w:ilvl w:val="0"/>
          <w:numId w:val="5"/>
        </w:numPr>
        <w:rPr>
          <w:bCs/>
          <w:sz w:val="20"/>
          <w:szCs w:val="20"/>
        </w:rPr>
      </w:pPr>
      <w:r w:rsidRPr="00424CC7">
        <w:rPr>
          <w:bCs/>
          <w:sz w:val="20"/>
          <w:szCs w:val="20"/>
        </w:rPr>
        <w:t>Distribution Fee</w:t>
      </w:r>
    </w:p>
    <w:p w14:paraId="11933B52" w14:textId="77777777" w:rsidR="00424CC7" w:rsidRPr="00424CC7" w:rsidRDefault="00424CC7" w:rsidP="00025F67">
      <w:pPr>
        <w:numPr>
          <w:ilvl w:val="0"/>
          <w:numId w:val="5"/>
        </w:numPr>
        <w:rPr>
          <w:bCs/>
          <w:sz w:val="20"/>
          <w:szCs w:val="20"/>
        </w:rPr>
      </w:pPr>
      <w:r w:rsidRPr="00424CC7">
        <w:rPr>
          <w:bCs/>
          <w:sz w:val="20"/>
          <w:szCs w:val="20"/>
        </w:rPr>
        <w:t>Distribution Commission</w:t>
      </w:r>
    </w:p>
    <w:p w14:paraId="5857751B" w14:textId="77777777" w:rsidR="00424CC7" w:rsidRPr="00424CC7" w:rsidRDefault="00424CC7" w:rsidP="00025F67">
      <w:pPr>
        <w:numPr>
          <w:ilvl w:val="0"/>
          <w:numId w:val="5"/>
        </w:numPr>
        <w:rPr>
          <w:bCs/>
          <w:sz w:val="20"/>
          <w:szCs w:val="20"/>
        </w:rPr>
      </w:pPr>
      <w:r w:rsidRPr="00424CC7">
        <w:rPr>
          <w:bCs/>
          <w:sz w:val="20"/>
          <w:szCs w:val="20"/>
        </w:rPr>
        <w:t>Expense Recoupment</w:t>
      </w:r>
    </w:p>
    <w:p w14:paraId="2E346F1E" w14:textId="77777777" w:rsidR="00424CC7" w:rsidRPr="00424CC7" w:rsidRDefault="00424CC7" w:rsidP="00025F67">
      <w:pPr>
        <w:numPr>
          <w:ilvl w:val="0"/>
          <w:numId w:val="5"/>
        </w:numPr>
        <w:rPr>
          <w:bCs/>
          <w:sz w:val="20"/>
          <w:szCs w:val="20"/>
        </w:rPr>
      </w:pPr>
      <w:r w:rsidRPr="00424CC7">
        <w:rPr>
          <w:bCs/>
          <w:sz w:val="20"/>
          <w:szCs w:val="20"/>
        </w:rPr>
        <w:t>Advance Recoupment</w:t>
      </w:r>
    </w:p>
    <w:p w14:paraId="2C97915D" w14:textId="77777777" w:rsidR="00424CC7" w:rsidRPr="00424CC7" w:rsidRDefault="00424CC7" w:rsidP="00025F67">
      <w:pPr>
        <w:numPr>
          <w:ilvl w:val="0"/>
          <w:numId w:val="5"/>
        </w:numPr>
        <w:rPr>
          <w:bCs/>
          <w:sz w:val="20"/>
          <w:szCs w:val="20"/>
        </w:rPr>
      </w:pPr>
      <w:r w:rsidRPr="00424CC7">
        <w:rPr>
          <w:bCs/>
          <w:sz w:val="20"/>
          <w:szCs w:val="20"/>
        </w:rPr>
        <w:t>Packaging Deduction</w:t>
      </w:r>
    </w:p>
    <w:p w14:paraId="4DB070DB" w14:textId="77777777" w:rsidR="00424CC7" w:rsidRPr="00424CC7" w:rsidRDefault="00424CC7" w:rsidP="00025F67">
      <w:pPr>
        <w:numPr>
          <w:ilvl w:val="0"/>
          <w:numId w:val="5"/>
        </w:numPr>
        <w:rPr>
          <w:bCs/>
          <w:sz w:val="20"/>
          <w:szCs w:val="20"/>
        </w:rPr>
      </w:pPr>
      <w:r w:rsidRPr="00424CC7">
        <w:rPr>
          <w:bCs/>
          <w:sz w:val="20"/>
          <w:szCs w:val="20"/>
        </w:rPr>
        <w:t>Royalty</w:t>
      </w:r>
    </w:p>
    <w:p w14:paraId="04E653C2" w14:textId="77777777" w:rsidR="00424CC7" w:rsidRPr="00424CC7" w:rsidRDefault="00424CC7" w:rsidP="00025F67">
      <w:pPr>
        <w:numPr>
          <w:ilvl w:val="0"/>
          <w:numId w:val="5"/>
        </w:numPr>
        <w:rPr>
          <w:bCs/>
          <w:sz w:val="20"/>
          <w:szCs w:val="20"/>
        </w:rPr>
      </w:pPr>
      <w:r w:rsidRPr="00424CC7">
        <w:rPr>
          <w:bCs/>
          <w:sz w:val="20"/>
          <w:szCs w:val="20"/>
        </w:rPr>
        <w:t>Other</w:t>
      </w:r>
    </w:p>
    <w:p w14:paraId="1327F6EC" w14:textId="77777777" w:rsidR="00424CC7" w:rsidRPr="00424CC7" w:rsidRDefault="00424CC7" w:rsidP="00025F67">
      <w:pPr>
        <w:numPr>
          <w:ilvl w:val="0"/>
          <w:numId w:val="5"/>
        </w:numPr>
        <w:rPr>
          <w:bCs/>
          <w:sz w:val="20"/>
          <w:szCs w:val="20"/>
        </w:rPr>
      </w:pPr>
      <w:r w:rsidRPr="00424CC7">
        <w:rPr>
          <w:bCs/>
          <w:sz w:val="20"/>
          <w:szCs w:val="20"/>
        </w:rPr>
        <w:t>Loan</w:t>
      </w:r>
    </w:p>
    <w:p w14:paraId="7F386D1C" w14:textId="77777777" w:rsidR="00424CC7" w:rsidRPr="00424CC7" w:rsidRDefault="00424CC7" w:rsidP="00025F67">
      <w:pPr>
        <w:numPr>
          <w:ilvl w:val="0"/>
          <w:numId w:val="5"/>
        </w:numPr>
        <w:rPr>
          <w:bCs/>
          <w:sz w:val="20"/>
          <w:szCs w:val="20"/>
        </w:rPr>
      </w:pPr>
      <w:r w:rsidRPr="00424CC7">
        <w:rPr>
          <w:bCs/>
          <w:sz w:val="20"/>
          <w:szCs w:val="20"/>
        </w:rPr>
        <w:t>Investment</w:t>
      </w:r>
    </w:p>
    <w:p w14:paraId="32BEBFE9" w14:textId="77777777" w:rsidR="00424CC7" w:rsidRPr="00424CC7" w:rsidRDefault="00424CC7" w:rsidP="00025F67">
      <w:pPr>
        <w:numPr>
          <w:ilvl w:val="0"/>
          <w:numId w:val="5"/>
        </w:numPr>
        <w:rPr>
          <w:bCs/>
          <w:sz w:val="20"/>
          <w:szCs w:val="20"/>
        </w:rPr>
      </w:pPr>
      <w:r w:rsidRPr="00424CC7">
        <w:rPr>
          <w:bCs/>
          <w:sz w:val="20"/>
          <w:szCs w:val="20"/>
        </w:rPr>
        <w:t>Royalty Cap</w:t>
      </w:r>
    </w:p>
    <w:p w14:paraId="5AD5277B" w14:textId="77777777" w:rsidR="00424CC7" w:rsidRPr="00424CC7" w:rsidRDefault="00424CC7" w:rsidP="00025F67">
      <w:pPr>
        <w:numPr>
          <w:ilvl w:val="0"/>
          <w:numId w:val="5"/>
        </w:numPr>
        <w:rPr>
          <w:bCs/>
          <w:sz w:val="20"/>
          <w:szCs w:val="20"/>
        </w:rPr>
      </w:pPr>
      <w:proofErr w:type="spellStart"/>
      <w:r w:rsidRPr="00424CC7">
        <w:rPr>
          <w:bCs/>
          <w:sz w:val="20"/>
          <w:szCs w:val="20"/>
        </w:rPr>
        <w:t>Reversioning</w:t>
      </w:r>
      <w:proofErr w:type="spellEnd"/>
      <w:r w:rsidRPr="00424CC7">
        <w:rPr>
          <w:bCs/>
          <w:sz w:val="20"/>
          <w:szCs w:val="20"/>
        </w:rPr>
        <w:t xml:space="preserve"> Costs</w:t>
      </w:r>
    </w:p>
    <w:p w14:paraId="3E5891B8" w14:textId="77777777" w:rsidR="00424CC7" w:rsidRPr="00424CC7" w:rsidRDefault="00424CC7" w:rsidP="00025F67">
      <w:pPr>
        <w:numPr>
          <w:ilvl w:val="0"/>
          <w:numId w:val="5"/>
        </w:numPr>
        <w:rPr>
          <w:bCs/>
          <w:sz w:val="20"/>
          <w:szCs w:val="20"/>
        </w:rPr>
      </w:pPr>
      <w:r w:rsidRPr="00424CC7">
        <w:rPr>
          <w:bCs/>
          <w:sz w:val="20"/>
          <w:szCs w:val="20"/>
        </w:rPr>
        <w:t>Advance</w:t>
      </w:r>
    </w:p>
    <w:p w14:paraId="66DB193B" w14:textId="77777777" w:rsidR="00424CC7" w:rsidRPr="00424CC7" w:rsidRDefault="00424CC7" w:rsidP="00025F67">
      <w:pPr>
        <w:numPr>
          <w:ilvl w:val="0"/>
          <w:numId w:val="5"/>
        </w:numPr>
        <w:rPr>
          <w:bCs/>
          <w:sz w:val="20"/>
          <w:szCs w:val="20"/>
        </w:rPr>
      </w:pPr>
      <w:r w:rsidRPr="00424CC7">
        <w:rPr>
          <w:bCs/>
          <w:sz w:val="20"/>
          <w:szCs w:val="20"/>
        </w:rPr>
        <w:lastRenderedPageBreak/>
        <w:t>Deficit</w:t>
      </w:r>
    </w:p>
    <w:p w14:paraId="7E63E105" w14:textId="77777777" w:rsidR="00424CC7" w:rsidRPr="00424CC7" w:rsidRDefault="00424CC7" w:rsidP="00025F67">
      <w:pPr>
        <w:numPr>
          <w:ilvl w:val="0"/>
          <w:numId w:val="5"/>
        </w:numPr>
        <w:rPr>
          <w:bCs/>
          <w:sz w:val="20"/>
          <w:szCs w:val="20"/>
        </w:rPr>
      </w:pPr>
      <w:r w:rsidRPr="00424CC7">
        <w:rPr>
          <w:bCs/>
          <w:sz w:val="20"/>
          <w:szCs w:val="20"/>
        </w:rPr>
        <w:t>Clearance Costs</w:t>
      </w:r>
    </w:p>
    <w:p w14:paraId="58BC6EEE" w14:textId="77777777" w:rsidR="00424CC7" w:rsidRPr="00424CC7" w:rsidRDefault="00424CC7" w:rsidP="00025F67">
      <w:pPr>
        <w:numPr>
          <w:ilvl w:val="0"/>
          <w:numId w:val="5"/>
        </w:numPr>
        <w:rPr>
          <w:bCs/>
          <w:sz w:val="20"/>
          <w:szCs w:val="20"/>
        </w:rPr>
      </w:pPr>
      <w:r w:rsidRPr="00424CC7">
        <w:rPr>
          <w:bCs/>
          <w:sz w:val="20"/>
          <w:szCs w:val="20"/>
        </w:rPr>
        <w:t>Advanced Costs</w:t>
      </w:r>
    </w:p>
    <w:p w14:paraId="4FF892E0" w14:textId="77777777" w:rsidR="00424CC7" w:rsidRPr="00424CC7" w:rsidRDefault="00424CC7" w:rsidP="00025F67">
      <w:pPr>
        <w:numPr>
          <w:ilvl w:val="0"/>
          <w:numId w:val="5"/>
        </w:numPr>
        <w:rPr>
          <w:bCs/>
        </w:rPr>
      </w:pPr>
      <w:r w:rsidRPr="00424CC7">
        <w:rPr>
          <w:bCs/>
          <w:sz w:val="20"/>
          <w:szCs w:val="20"/>
        </w:rPr>
        <w:t>Fees</w:t>
      </w:r>
    </w:p>
    <w:p w14:paraId="0E27833B" w14:textId="77777777" w:rsidR="00424CC7" w:rsidRPr="00424CC7" w:rsidRDefault="00424CC7" w:rsidP="00E568DA">
      <w:pPr>
        <w:rPr>
          <w:bCs/>
        </w:rPr>
      </w:pPr>
    </w:p>
    <w:p w14:paraId="1CE21879" w14:textId="77777777" w:rsidR="00424CC7" w:rsidRPr="00424CC7" w:rsidRDefault="00424CC7" w:rsidP="00025F67">
      <w:pPr>
        <w:numPr>
          <w:ilvl w:val="0"/>
          <w:numId w:val="5"/>
        </w:numPr>
        <w:rPr>
          <w:bCs/>
        </w:rPr>
      </w:pPr>
      <w:r w:rsidRPr="00424CC7">
        <w:rPr>
          <w:bCs/>
        </w:rPr>
        <w:t>Numerous other royalty report improvements documented elsewhere</w:t>
      </w:r>
      <w:r>
        <w:rPr>
          <w:bCs/>
        </w:rPr>
        <w:t>. Improvements to the interface and output documents</w:t>
      </w:r>
    </w:p>
    <w:p w14:paraId="28D1899D" w14:textId="77777777" w:rsidR="00424CC7" w:rsidRPr="00424CC7" w:rsidRDefault="00424CC7" w:rsidP="00E568DA">
      <w:pPr>
        <w:rPr>
          <w:bCs/>
        </w:rPr>
      </w:pPr>
    </w:p>
    <w:p w14:paraId="09991398" w14:textId="77777777" w:rsidR="00424CC7" w:rsidRPr="00424CC7" w:rsidRDefault="00424CC7" w:rsidP="00025F67">
      <w:pPr>
        <w:numPr>
          <w:ilvl w:val="0"/>
          <w:numId w:val="4"/>
        </w:numPr>
        <w:rPr>
          <w:bCs/>
        </w:rPr>
      </w:pPr>
      <w:r w:rsidRPr="00424CC7">
        <w:rPr>
          <w:bCs/>
        </w:rPr>
        <w:t xml:space="preserve">New count of available rights </w:t>
      </w:r>
      <w:r>
        <w:rPr>
          <w:bCs/>
        </w:rPr>
        <w:t xml:space="preserve">option </w:t>
      </w:r>
      <w:r w:rsidRPr="00424CC7">
        <w:rPr>
          <w:bCs/>
        </w:rPr>
        <w:t>on format 4 availability reports</w:t>
      </w:r>
    </w:p>
    <w:p w14:paraId="5091739A" w14:textId="77777777" w:rsidR="00424CC7" w:rsidRDefault="00424CC7" w:rsidP="00E568DA">
      <w:pPr>
        <w:rPr>
          <w:b/>
          <w:bCs/>
          <w:u w:val="single"/>
        </w:rPr>
      </w:pPr>
    </w:p>
    <w:p w14:paraId="770CBC6D" w14:textId="77777777" w:rsidR="00B80D7A" w:rsidRPr="00424CC7" w:rsidRDefault="00B80D7A" w:rsidP="00025F67">
      <w:pPr>
        <w:numPr>
          <w:ilvl w:val="0"/>
          <w:numId w:val="3"/>
        </w:numPr>
        <w:rPr>
          <w:bCs/>
        </w:rPr>
      </w:pPr>
      <w:r w:rsidRPr="00424CC7">
        <w:rPr>
          <w:bCs/>
        </w:rPr>
        <w:t>Territory group exclusion addition fixed</w:t>
      </w:r>
    </w:p>
    <w:p w14:paraId="3EA58780" w14:textId="77777777" w:rsidR="00CF6778" w:rsidRDefault="00CF6778" w:rsidP="00E568DA">
      <w:pPr>
        <w:rPr>
          <w:bCs/>
        </w:rPr>
      </w:pPr>
    </w:p>
    <w:p w14:paraId="6F4C1489" w14:textId="77777777" w:rsidR="00C179B3" w:rsidRPr="00CF6778" w:rsidRDefault="00C179B3" w:rsidP="00025F67">
      <w:pPr>
        <w:numPr>
          <w:ilvl w:val="0"/>
          <w:numId w:val="3"/>
        </w:numPr>
        <w:rPr>
          <w:bCs/>
        </w:rPr>
      </w:pPr>
      <w:r w:rsidRPr="00CF6778">
        <w:rPr>
          <w:bCs/>
        </w:rPr>
        <w:t>All-address view available from splash screen left panel</w:t>
      </w:r>
    </w:p>
    <w:p w14:paraId="54BCC035" w14:textId="77777777" w:rsidR="00C179B3" w:rsidRPr="00CF6778" w:rsidRDefault="00C179B3" w:rsidP="00E568DA">
      <w:pPr>
        <w:rPr>
          <w:bCs/>
        </w:rPr>
      </w:pPr>
    </w:p>
    <w:p w14:paraId="68269595" w14:textId="77777777" w:rsidR="00C179B3" w:rsidRDefault="00CF6778" w:rsidP="00025F67">
      <w:pPr>
        <w:numPr>
          <w:ilvl w:val="0"/>
          <w:numId w:val="3"/>
        </w:numPr>
        <w:rPr>
          <w:bCs/>
        </w:rPr>
      </w:pPr>
      <w:r w:rsidRPr="00CF6778">
        <w:rPr>
          <w:bCs/>
        </w:rPr>
        <w:t xml:space="preserve">General </w:t>
      </w:r>
      <w:r>
        <w:rPr>
          <w:bCs/>
        </w:rPr>
        <w:t>reports screen re-designed</w:t>
      </w:r>
    </w:p>
    <w:p w14:paraId="2B455749" w14:textId="77777777" w:rsidR="00CF6778" w:rsidRDefault="00CF6778" w:rsidP="00E568DA">
      <w:pPr>
        <w:rPr>
          <w:bCs/>
        </w:rPr>
      </w:pPr>
    </w:p>
    <w:p w14:paraId="1E32636A" w14:textId="77777777" w:rsidR="00CF6778" w:rsidRDefault="00CF6778" w:rsidP="00025F67">
      <w:pPr>
        <w:numPr>
          <w:ilvl w:val="0"/>
          <w:numId w:val="3"/>
        </w:numPr>
        <w:rPr>
          <w:bCs/>
        </w:rPr>
      </w:pPr>
      <w:r>
        <w:rPr>
          <w:bCs/>
        </w:rPr>
        <w:t xml:space="preserve">New global variable filter </w:t>
      </w:r>
      <w:r w:rsidR="005F027C">
        <w:rPr>
          <w:bCs/>
        </w:rPr>
        <w:t xml:space="preserve">option, </w:t>
      </w:r>
      <w:r>
        <w:rPr>
          <w:bCs/>
        </w:rPr>
        <w:t>“</w:t>
      </w:r>
      <w:r w:rsidR="005F027C">
        <w:rPr>
          <w:bCs/>
        </w:rPr>
        <w:t>L</w:t>
      </w:r>
      <w:r>
        <w:rPr>
          <w:bCs/>
        </w:rPr>
        <w:t xml:space="preserve">ibrary”, where entire system (screen views and reports) may be filtered to a single library. </w:t>
      </w:r>
    </w:p>
    <w:p w14:paraId="0E1C8F76" w14:textId="77777777" w:rsidR="00CF6778" w:rsidRDefault="00CF6778" w:rsidP="00E568DA">
      <w:pPr>
        <w:rPr>
          <w:bCs/>
        </w:rPr>
      </w:pPr>
    </w:p>
    <w:p w14:paraId="78B84CF3" w14:textId="77777777" w:rsidR="00CF6778" w:rsidRDefault="00CF6778" w:rsidP="00025F67">
      <w:pPr>
        <w:numPr>
          <w:ilvl w:val="0"/>
          <w:numId w:val="3"/>
        </w:numPr>
        <w:rPr>
          <w:bCs/>
        </w:rPr>
      </w:pPr>
      <w:r>
        <w:rPr>
          <w:bCs/>
        </w:rPr>
        <w:t xml:space="preserve">When generating a Word deal memo/long form, Comet checks destination path to make sure it exists to prevent Word freeze trying to create file into non-existent folder. </w:t>
      </w:r>
    </w:p>
    <w:p w14:paraId="516CF120" w14:textId="77777777" w:rsidR="00C6454E" w:rsidRDefault="00C6454E" w:rsidP="00C6454E">
      <w:pPr>
        <w:pStyle w:val="ListParagraph"/>
        <w:rPr>
          <w:bCs/>
        </w:rPr>
      </w:pPr>
    </w:p>
    <w:p w14:paraId="5B6B335D" w14:textId="77777777" w:rsidR="00C6454E" w:rsidRDefault="00C6454E" w:rsidP="00C6454E">
      <w:pPr>
        <w:rPr>
          <w:b/>
          <w:bCs/>
          <w:u w:val="single"/>
        </w:rPr>
      </w:pPr>
    </w:p>
    <w:tbl>
      <w:tblPr>
        <w:tblW w:w="7340" w:type="dxa"/>
        <w:tblCellMar>
          <w:left w:w="0" w:type="dxa"/>
          <w:right w:w="0" w:type="dxa"/>
        </w:tblCellMar>
        <w:tblLook w:val="04A0" w:firstRow="1" w:lastRow="0" w:firstColumn="1" w:lastColumn="0" w:noHBand="0" w:noVBand="1"/>
      </w:tblPr>
      <w:tblGrid>
        <w:gridCol w:w="7340"/>
      </w:tblGrid>
      <w:tr w:rsidR="00C6454E" w:rsidRPr="00CB7C6F" w14:paraId="6656FDFE" w14:textId="77777777" w:rsidTr="00853E48">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3A9E4F5A" w14:textId="77777777" w:rsidR="00C6454E" w:rsidRPr="00CB7C6F" w:rsidRDefault="00C6454E" w:rsidP="00853E48">
            <w:pPr>
              <w:rPr>
                <w:rFonts w:ascii="Arial" w:hAnsi="Arial" w:cs="Arial"/>
                <w:color w:val="000000"/>
              </w:rPr>
            </w:pPr>
            <w:r w:rsidRPr="00CB7C6F">
              <w:rPr>
                <w:rFonts w:ascii="Arial" w:hAnsi="Arial" w:cs="Arial"/>
                <w:color w:val="000000"/>
              </w:rPr>
              <w:t>Server Update Sequence #49490 (first released 2008-12-07 04:20)</w:t>
            </w:r>
          </w:p>
        </w:tc>
      </w:tr>
      <w:tr w:rsidR="00C6454E" w:rsidRPr="00CB7C6F" w14:paraId="66107B47" w14:textId="77777777" w:rsidTr="00853E48">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325AF25C" w14:textId="77777777" w:rsidR="00C6454E" w:rsidRPr="00CB7C6F" w:rsidRDefault="00C6454E" w:rsidP="00853E48">
            <w:pPr>
              <w:rPr>
                <w:rFonts w:ascii="Arial" w:hAnsi="Arial" w:cs="Arial"/>
                <w:color w:val="000000"/>
              </w:rPr>
            </w:pPr>
            <w:r w:rsidRPr="00CB7C6F">
              <w:rPr>
                <w:rFonts w:ascii="Arial" w:hAnsi="Arial" w:cs="Arial"/>
                <w:color w:val="000000"/>
              </w:rPr>
              <w:t xml:space="preserve">Frontend Update </w:t>
            </w:r>
            <w:r w:rsidRPr="00372CE4">
              <w:rPr>
                <w:rFonts w:ascii="Arial" w:hAnsi="Arial" w:cs="Arial"/>
                <w:color w:val="000000"/>
              </w:rPr>
              <w:t xml:space="preserve">Release </w:t>
            </w:r>
            <w:r>
              <w:rPr>
                <w:rFonts w:ascii="Arial" w:hAnsi="Arial" w:cs="Arial"/>
                <w:color w:val="000000"/>
              </w:rPr>
              <w:t>H</w:t>
            </w:r>
            <w:r w:rsidRPr="00372CE4">
              <w:rPr>
                <w:rFonts w:ascii="Arial" w:hAnsi="Arial" w:cs="Arial"/>
                <w:color w:val="000000"/>
              </w:rPr>
              <w:t xml:space="preserve"> on 2009-</w:t>
            </w:r>
            <w:r>
              <w:rPr>
                <w:rFonts w:ascii="Arial" w:hAnsi="Arial" w:cs="Arial"/>
                <w:color w:val="000000"/>
              </w:rPr>
              <w:t>02</w:t>
            </w:r>
            <w:r w:rsidRPr="00372CE4">
              <w:rPr>
                <w:rFonts w:ascii="Arial" w:hAnsi="Arial" w:cs="Arial"/>
                <w:color w:val="000000"/>
              </w:rPr>
              <w:t>-</w:t>
            </w:r>
            <w:r>
              <w:rPr>
                <w:rFonts w:ascii="Arial" w:hAnsi="Arial" w:cs="Arial"/>
                <w:color w:val="000000"/>
              </w:rPr>
              <w:t>12</w:t>
            </w:r>
          </w:p>
        </w:tc>
      </w:tr>
    </w:tbl>
    <w:p w14:paraId="2156340D" w14:textId="77777777" w:rsidR="00C6454E" w:rsidRDefault="00C6454E" w:rsidP="00C6454E">
      <w:pPr>
        <w:rPr>
          <w:b/>
          <w:bCs/>
          <w:u w:val="single"/>
        </w:rPr>
      </w:pPr>
    </w:p>
    <w:p w14:paraId="0317A7B9" w14:textId="77777777" w:rsidR="00C6454E" w:rsidRDefault="00C6454E" w:rsidP="00C6454E">
      <w:pPr>
        <w:numPr>
          <w:ilvl w:val="0"/>
          <w:numId w:val="25"/>
        </w:numPr>
        <w:rPr>
          <w:bCs/>
        </w:rPr>
      </w:pPr>
      <w:r w:rsidRPr="006817BE">
        <w:rPr>
          <w:bCs/>
        </w:rPr>
        <w:t xml:space="preserve">Prevent importing royalty expenses unless either the period date override is entered, or the checkbox “Use expense date” is checked on.  This is to prevent importing records to the wrong period. </w:t>
      </w:r>
    </w:p>
    <w:p w14:paraId="3D8A253F" w14:textId="77777777" w:rsidR="00C6454E" w:rsidRDefault="00C6454E" w:rsidP="00C6454E">
      <w:pPr>
        <w:numPr>
          <w:ilvl w:val="0"/>
          <w:numId w:val="25"/>
        </w:numPr>
        <w:rPr>
          <w:bCs/>
        </w:rPr>
      </w:pPr>
      <w:r>
        <w:rPr>
          <w:bCs/>
        </w:rPr>
        <w:t>Improved linking of receipts to the owned rights agreement’s right categories in the royalty setup</w:t>
      </w:r>
    </w:p>
    <w:p w14:paraId="77C3AED6" w14:textId="77777777" w:rsidR="00C6454E" w:rsidRPr="006817BE" w:rsidRDefault="00C6454E" w:rsidP="00C6454E">
      <w:pPr>
        <w:numPr>
          <w:ilvl w:val="0"/>
          <w:numId w:val="25"/>
        </w:numPr>
        <w:rPr>
          <w:bCs/>
        </w:rPr>
      </w:pPr>
      <w:r>
        <w:rPr>
          <w:bCs/>
        </w:rPr>
        <w:t xml:space="preserve">Additional Royalty report improvements. </w:t>
      </w:r>
    </w:p>
    <w:p w14:paraId="29174D7E" w14:textId="77777777" w:rsidR="00C6454E" w:rsidRDefault="00C6454E" w:rsidP="00C6454E">
      <w:pPr>
        <w:rPr>
          <w:bCs/>
        </w:rPr>
      </w:pPr>
    </w:p>
    <w:p w14:paraId="7E049716" w14:textId="77777777" w:rsidR="00C179B3" w:rsidRPr="00CF6778" w:rsidRDefault="00C179B3" w:rsidP="00E568DA">
      <w:pPr>
        <w:rPr>
          <w:bCs/>
        </w:rPr>
      </w:pPr>
    </w:p>
    <w:tbl>
      <w:tblPr>
        <w:tblW w:w="7340" w:type="dxa"/>
        <w:tblCellMar>
          <w:left w:w="0" w:type="dxa"/>
          <w:right w:w="0" w:type="dxa"/>
        </w:tblCellMar>
        <w:tblLook w:val="04A0" w:firstRow="1" w:lastRow="0" w:firstColumn="1" w:lastColumn="0" w:noHBand="0" w:noVBand="1"/>
      </w:tblPr>
      <w:tblGrid>
        <w:gridCol w:w="7340"/>
      </w:tblGrid>
      <w:tr w:rsidR="00372CE4" w:rsidRPr="00CB7C6F" w14:paraId="5AA24C39" w14:textId="77777777" w:rsidTr="0044398A">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1252FAA" w14:textId="77777777" w:rsidR="00372CE4" w:rsidRPr="00CB7C6F" w:rsidRDefault="00372CE4" w:rsidP="0044398A">
            <w:pPr>
              <w:rPr>
                <w:rFonts w:ascii="Arial" w:hAnsi="Arial" w:cs="Arial"/>
                <w:color w:val="000000"/>
              </w:rPr>
            </w:pPr>
            <w:r w:rsidRPr="00CB7C6F">
              <w:rPr>
                <w:rFonts w:ascii="Arial" w:hAnsi="Arial" w:cs="Arial"/>
                <w:color w:val="000000"/>
              </w:rPr>
              <w:t>Server Update Sequence #49490 (first released 2008-12-07 04:20)</w:t>
            </w:r>
          </w:p>
        </w:tc>
      </w:tr>
      <w:tr w:rsidR="00372CE4" w:rsidRPr="00CB7C6F" w14:paraId="4D6B767D" w14:textId="77777777" w:rsidTr="0044398A">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F52FAC7" w14:textId="77777777" w:rsidR="00372CE4" w:rsidRPr="00CB7C6F" w:rsidRDefault="00372CE4" w:rsidP="0044398A">
            <w:pPr>
              <w:rPr>
                <w:rFonts w:ascii="Arial" w:hAnsi="Arial" w:cs="Arial"/>
                <w:color w:val="000000"/>
              </w:rPr>
            </w:pPr>
            <w:r w:rsidRPr="00CB7C6F">
              <w:rPr>
                <w:rFonts w:ascii="Arial" w:hAnsi="Arial" w:cs="Arial"/>
                <w:color w:val="000000"/>
              </w:rPr>
              <w:t xml:space="preserve">Frontend Update </w:t>
            </w:r>
            <w:r w:rsidRPr="00372CE4">
              <w:rPr>
                <w:rFonts w:ascii="Arial" w:hAnsi="Arial" w:cs="Arial"/>
                <w:color w:val="000000"/>
              </w:rPr>
              <w:t>Release F on 2009-01-15</w:t>
            </w:r>
          </w:p>
        </w:tc>
      </w:tr>
    </w:tbl>
    <w:p w14:paraId="2EAD7D37" w14:textId="77777777" w:rsidR="00372CE4" w:rsidRPr="00372CE4" w:rsidRDefault="00372CE4" w:rsidP="00025F67">
      <w:pPr>
        <w:numPr>
          <w:ilvl w:val="0"/>
          <w:numId w:val="2"/>
        </w:numPr>
        <w:rPr>
          <w:bCs/>
        </w:rPr>
      </w:pPr>
      <w:r w:rsidRPr="00372CE4">
        <w:rPr>
          <w:bCs/>
        </w:rPr>
        <w:t>Fix to royalty expense import where</w:t>
      </w:r>
      <w:r>
        <w:rPr>
          <w:bCs/>
        </w:rPr>
        <w:t xml:space="preserve"> Comet could attach expense to 3</w:t>
      </w:r>
      <w:r w:rsidRPr="00372CE4">
        <w:rPr>
          <w:bCs/>
          <w:vertAlign w:val="superscript"/>
        </w:rPr>
        <w:t>rd</w:t>
      </w:r>
      <w:r>
        <w:rPr>
          <w:bCs/>
        </w:rPr>
        <w:t xml:space="preserve"> party contract</w:t>
      </w:r>
    </w:p>
    <w:p w14:paraId="50A97EB9" w14:textId="77777777" w:rsidR="00372CE4" w:rsidRDefault="00372CE4" w:rsidP="00E568DA">
      <w:pPr>
        <w:rPr>
          <w:b/>
          <w:bCs/>
          <w:u w:val="single"/>
        </w:rPr>
      </w:pPr>
    </w:p>
    <w:p w14:paraId="116F4D96" w14:textId="77777777" w:rsidR="00372CE4" w:rsidRDefault="00372CE4" w:rsidP="00E568DA">
      <w:pPr>
        <w:rPr>
          <w:b/>
          <w:bCs/>
          <w:u w:val="single"/>
        </w:rPr>
      </w:pPr>
    </w:p>
    <w:tbl>
      <w:tblPr>
        <w:tblW w:w="7340" w:type="dxa"/>
        <w:tblCellMar>
          <w:left w:w="0" w:type="dxa"/>
          <w:right w:w="0" w:type="dxa"/>
        </w:tblCellMar>
        <w:tblLook w:val="04A0" w:firstRow="1" w:lastRow="0" w:firstColumn="1" w:lastColumn="0" w:noHBand="0" w:noVBand="1"/>
      </w:tblPr>
      <w:tblGrid>
        <w:gridCol w:w="7340"/>
      </w:tblGrid>
      <w:tr w:rsidR="00CB7C6F" w:rsidRPr="00CB7C6F" w14:paraId="7EDE0A05" w14:textId="77777777" w:rsidTr="00CB7C6F">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760026D1" w14:textId="77777777" w:rsidR="00CB7C6F" w:rsidRPr="00CB7C6F" w:rsidRDefault="00CB7C6F" w:rsidP="00CB7C6F">
            <w:pPr>
              <w:rPr>
                <w:rFonts w:ascii="Arial" w:hAnsi="Arial" w:cs="Arial"/>
                <w:color w:val="000000"/>
              </w:rPr>
            </w:pPr>
            <w:r w:rsidRPr="00CB7C6F">
              <w:rPr>
                <w:rFonts w:ascii="Arial" w:hAnsi="Arial" w:cs="Arial"/>
                <w:color w:val="000000"/>
              </w:rPr>
              <w:t>Server Update Sequence #49490 (first released 2008-12-07 04:20)</w:t>
            </w:r>
          </w:p>
        </w:tc>
      </w:tr>
      <w:tr w:rsidR="00CB7C6F" w:rsidRPr="00CB7C6F" w14:paraId="7A6F1E1C" w14:textId="77777777" w:rsidTr="00CB7C6F">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73369D0" w14:textId="77777777" w:rsidR="00CB7C6F" w:rsidRPr="00CB7C6F" w:rsidRDefault="00CB7C6F" w:rsidP="00CB7C6F">
            <w:pPr>
              <w:rPr>
                <w:rFonts w:ascii="Arial" w:hAnsi="Arial" w:cs="Arial"/>
                <w:color w:val="000000"/>
              </w:rPr>
            </w:pPr>
            <w:r w:rsidRPr="00CB7C6F">
              <w:rPr>
                <w:rFonts w:ascii="Arial" w:hAnsi="Arial" w:cs="Arial"/>
                <w:color w:val="000000"/>
              </w:rPr>
              <w:t>Frontend Update Release D on 2009-01-07</w:t>
            </w:r>
          </w:p>
        </w:tc>
      </w:tr>
    </w:tbl>
    <w:p w14:paraId="13E3184D" w14:textId="77777777" w:rsidR="0018757A" w:rsidRDefault="0018757A">
      <w:pPr>
        <w:rPr>
          <w:bCs/>
        </w:rPr>
      </w:pPr>
    </w:p>
    <w:p w14:paraId="0A280CD4" w14:textId="77777777" w:rsidR="00CB7C6F" w:rsidRDefault="00CB7C6F" w:rsidP="00025F67">
      <w:pPr>
        <w:numPr>
          <w:ilvl w:val="0"/>
          <w:numId w:val="1"/>
        </w:numPr>
        <w:rPr>
          <w:bCs/>
        </w:rPr>
      </w:pPr>
      <w:r>
        <w:rPr>
          <w:bCs/>
        </w:rPr>
        <w:t xml:space="preserve">Further Royalty module updates.  Please contact Saturn for current documentation. </w:t>
      </w:r>
    </w:p>
    <w:p w14:paraId="3D80E61A" w14:textId="77777777" w:rsidR="00CB7C6F" w:rsidRDefault="00CB7C6F">
      <w:pPr>
        <w:pBdr>
          <w:bottom w:val="single" w:sz="6" w:space="1" w:color="auto"/>
        </w:pBdr>
        <w:rPr>
          <w:bCs/>
        </w:rPr>
      </w:pPr>
    </w:p>
    <w:tbl>
      <w:tblPr>
        <w:tblW w:w="7340" w:type="dxa"/>
        <w:tblCellMar>
          <w:left w:w="0" w:type="dxa"/>
          <w:right w:w="0" w:type="dxa"/>
        </w:tblCellMar>
        <w:tblLook w:val="04A0" w:firstRow="1" w:lastRow="0" w:firstColumn="1" w:lastColumn="0" w:noHBand="0" w:noVBand="1"/>
      </w:tblPr>
      <w:tblGrid>
        <w:gridCol w:w="7340"/>
      </w:tblGrid>
      <w:tr w:rsidR="009B7E4E" w:rsidRPr="00CB7C6F" w14:paraId="77819E1B" w14:textId="77777777" w:rsidTr="00F00535">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1508390F" w14:textId="77777777" w:rsidR="009B7E4E" w:rsidRPr="00CB7C6F" w:rsidRDefault="009B7E4E" w:rsidP="009B7E4E">
            <w:pPr>
              <w:rPr>
                <w:rFonts w:ascii="Arial" w:hAnsi="Arial" w:cs="Arial"/>
                <w:color w:val="000000"/>
              </w:rPr>
            </w:pPr>
            <w:r w:rsidRPr="00CB7C6F">
              <w:rPr>
                <w:rFonts w:ascii="Arial" w:hAnsi="Arial" w:cs="Arial"/>
                <w:color w:val="000000"/>
              </w:rPr>
              <w:t>Server Update Sequence</w:t>
            </w:r>
          </w:p>
        </w:tc>
      </w:tr>
      <w:tr w:rsidR="009B7E4E" w:rsidRPr="00CB7C6F" w14:paraId="60662F5A" w14:textId="77777777" w:rsidTr="00F00535">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29B71B6" w14:textId="77777777" w:rsidR="009B7E4E" w:rsidRPr="00CB7C6F" w:rsidRDefault="009B7E4E" w:rsidP="009B7E4E">
            <w:pPr>
              <w:rPr>
                <w:rFonts w:ascii="Arial" w:hAnsi="Arial" w:cs="Arial"/>
                <w:color w:val="000000"/>
              </w:rPr>
            </w:pPr>
            <w:r w:rsidRPr="00CB7C6F">
              <w:rPr>
                <w:rFonts w:ascii="Arial" w:hAnsi="Arial" w:cs="Arial"/>
                <w:color w:val="000000"/>
              </w:rPr>
              <w:t>Frontend Update Release</w:t>
            </w:r>
          </w:p>
        </w:tc>
      </w:tr>
    </w:tbl>
    <w:p w14:paraId="4B338089" w14:textId="77777777" w:rsidR="009B7E4E" w:rsidRDefault="009B7E4E">
      <w:pPr>
        <w:pBdr>
          <w:bottom w:val="single" w:sz="6" w:space="1" w:color="auto"/>
        </w:pBdr>
        <w:rPr>
          <w:bCs/>
        </w:rPr>
      </w:pPr>
    </w:p>
    <w:p w14:paraId="11D6F6BE" w14:textId="77777777" w:rsidR="009B7E4E" w:rsidRDefault="009B7E4E">
      <w:pPr>
        <w:pBdr>
          <w:bottom w:val="single" w:sz="6" w:space="1" w:color="auto"/>
        </w:pBdr>
        <w:rPr>
          <w:bCs/>
        </w:rPr>
      </w:pPr>
      <w:r>
        <w:rPr>
          <w:bCs/>
        </w:rPr>
        <w:t xml:space="preserve">Updates and Patches new button #43 updates contract-level start and end dates from rights category start and end dates. </w:t>
      </w:r>
    </w:p>
    <w:p w14:paraId="7EC48ADF" w14:textId="77777777" w:rsidR="009B7E4E" w:rsidRDefault="009B7E4E">
      <w:pPr>
        <w:pBdr>
          <w:bottom w:val="single" w:sz="6" w:space="1" w:color="auto"/>
        </w:pBdr>
        <w:rPr>
          <w:bCs/>
        </w:rPr>
      </w:pPr>
      <w:r>
        <w:rPr>
          <w:bCs/>
        </w:rPr>
        <w:t xml:space="preserve">Options 1 and 2 will overwrite existing dates </w:t>
      </w:r>
    </w:p>
    <w:p w14:paraId="55108186" w14:textId="77777777" w:rsidR="009B7E4E" w:rsidRDefault="009B7E4E">
      <w:pPr>
        <w:pBdr>
          <w:bottom w:val="single" w:sz="6" w:space="1" w:color="auto"/>
        </w:pBdr>
        <w:rPr>
          <w:bCs/>
        </w:rPr>
      </w:pPr>
      <w:r>
        <w:rPr>
          <w:bCs/>
        </w:rPr>
        <w:t xml:space="preserve">Options 3 and 4 will only update if the contract level date is blank, so existing dates will not be replaced. </w:t>
      </w:r>
    </w:p>
    <w:p w14:paraId="7545DCE6" w14:textId="77777777" w:rsidR="009B7E4E" w:rsidRDefault="009B7E4E">
      <w:pPr>
        <w:pBdr>
          <w:bottom w:val="single" w:sz="6" w:space="1" w:color="auto"/>
        </w:pBdr>
        <w:rPr>
          <w:bCs/>
        </w:rPr>
      </w:pPr>
      <w:r>
        <w:rPr>
          <w:bCs/>
        </w:rPr>
        <w:lastRenderedPageBreak/>
        <w:t xml:space="preserve">An existing date will not be replaced by a blank. </w:t>
      </w:r>
    </w:p>
    <w:p w14:paraId="143860FD" w14:textId="77777777" w:rsidR="009B7E4E" w:rsidRDefault="009B7E4E">
      <w:pPr>
        <w:pBdr>
          <w:bottom w:val="single" w:sz="6" w:space="1" w:color="auto"/>
        </w:pBdr>
        <w:rPr>
          <w:bCs/>
        </w:rPr>
      </w:pPr>
    </w:p>
    <w:tbl>
      <w:tblPr>
        <w:tblW w:w="7340" w:type="dxa"/>
        <w:tblCellMar>
          <w:left w:w="0" w:type="dxa"/>
          <w:right w:w="0" w:type="dxa"/>
        </w:tblCellMar>
        <w:tblLook w:val="04A0" w:firstRow="1" w:lastRow="0" w:firstColumn="1" w:lastColumn="0" w:noHBand="0" w:noVBand="1"/>
      </w:tblPr>
      <w:tblGrid>
        <w:gridCol w:w="7340"/>
      </w:tblGrid>
      <w:tr w:rsidR="00BD5475" w:rsidRPr="00CB7C6F" w14:paraId="1F578BFC" w14:textId="77777777" w:rsidTr="00E20966">
        <w:trPr>
          <w:trHeight w:val="315"/>
        </w:trPr>
        <w:tc>
          <w:tcPr>
            <w:tcW w:w="734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14:paraId="51ED8015" w14:textId="77777777" w:rsidR="00BD5475" w:rsidRPr="00CB7C6F" w:rsidRDefault="00BD5475" w:rsidP="00E20966">
            <w:pPr>
              <w:rPr>
                <w:rFonts w:ascii="Arial" w:hAnsi="Arial" w:cs="Arial"/>
                <w:color w:val="000000"/>
              </w:rPr>
            </w:pPr>
            <w:r w:rsidRPr="00CB7C6F">
              <w:rPr>
                <w:rFonts w:ascii="Arial" w:hAnsi="Arial" w:cs="Arial"/>
                <w:color w:val="000000"/>
              </w:rPr>
              <w:t>Server Update Sequence</w:t>
            </w:r>
            <w:r>
              <w:rPr>
                <w:rFonts w:ascii="Arial" w:hAnsi="Arial" w:cs="Arial"/>
                <w:color w:val="000000"/>
              </w:rPr>
              <w:t xml:space="preserve"> </w:t>
            </w:r>
          </w:p>
        </w:tc>
      </w:tr>
      <w:tr w:rsidR="00BD5475" w:rsidRPr="00CB7C6F" w14:paraId="6D1A4DD5" w14:textId="77777777" w:rsidTr="00E20966">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CA1FAAA" w14:textId="77777777" w:rsidR="00BD5475" w:rsidRPr="00CB7C6F" w:rsidRDefault="00BD5475" w:rsidP="00E20966">
            <w:pPr>
              <w:rPr>
                <w:rFonts w:ascii="Arial" w:hAnsi="Arial" w:cs="Arial"/>
                <w:color w:val="000000"/>
              </w:rPr>
            </w:pPr>
            <w:r w:rsidRPr="00CB7C6F">
              <w:rPr>
                <w:rFonts w:ascii="Arial" w:hAnsi="Arial" w:cs="Arial"/>
                <w:color w:val="000000"/>
              </w:rPr>
              <w:t>Frontend Update Release</w:t>
            </w:r>
          </w:p>
        </w:tc>
      </w:tr>
    </w:tbl>
    <w:p w14:paraId="2528CACF" w14:textId="77777777" w:rsidR="00CB7C6F" w:rsidRDefault="00BD5475">
      <w:pPr>
        <w:pBdr>
          <w:bottom w:val="single" w:sz="6" w:space="1" w:color="auto"/>
        </w:pBdr>
        <w:rPr>
          <w:bCs/>
        </w:rPr>
      </w:pPr>
      <w:r>
        <w:rPr>
          <w:bCs/>
        </w:rPr>
        <w:t>New Library filter capability in reports and system filter</w:t>
      </w:r>
    </w:p>
    <w:p w14:paraId="28F9265E" w14:textId="77777777" w:rsidR="00BD5475" w:rsidRDefault="00BD5475">
      <w:pPr>
        <w:pBdr>
          <w:bottom w:val="single" w:sz="6" w:space="1" w:color="auto"/>
        </w:pBdr>
        <w:rPr>
          <w:bCs/>
        </w:rPr>
      </w:pPr>
      <w:r>
        <w:rPr>
          <w:bCs/>
        </w:rPr>
        <w:t>General reports screen enlarged</w:t>
      </w:r>
    </w:p>
    <w:p w14:paraId="79419C57" w14:textId="77777777" w:rsidR="00CB7C6F" w:rsidRDefault="00CB7C6F">
      <w:pPr>
        <w:pBdr>
          <w:bottom w:val="single" w:sz="6" w:space="1" w:color="auto"/>
        </w:pBdr>
        <w:rPr>
          <w:bCs/>
        </w:rPr>
      </w:pPr>
    </w:p>
    <w:p w14:paraId="6517BEA6" w14:textId="77777777" w:rsidR="00BD5475" w:rsidRDefault="00BD5475">
      <w:pPr>
        <w:pBdr>
          <w:bottom w:val="single" w:sz="6" w:space="1" w:color="auto"/>
        </w:pBdr>
        <w:rPr>
          <w:bCs/>
        </w:rPr>
      </w:pPr>
    </w:p>
    <w:p w14:paraId="5AF9C8AF" w14:textId="77777777" w:rsidR="00AF0E88" w:rsidRPr="00CB7C6F" w:rsidRDefault="00AF0E88" w:rsidP="00AF0E88">
      <w:pPr>
        <w:rPr>
          <w:i/>
        </w:rPr>
      </w:pPr>
      <w:r w:rsidRPr="00CB7C6F">
        <w:rPr>
          <w:i/>
        </w:rPr>
        <w:t>Comet Changes in 200</w:t>
      </w:r>
      <w:r w:rsidR="00CB7C6F" w:rsidRPr="00CB7C6F">
        <w:rPr>
          <w:i/>
        </w:rPr>
        <w:t>8</w:t>
      </w:r>
      <w:r w:rsidRPr="00CB7C6F">
        <w:rPr>
          <w:i/>
        </w:rPr>
        <w:t>:</w:t>
      </w:r>
    </w:p>
    <w:p w14:paraId="3B94CE5F" w14:textId="77777777" w:rsidR="00AF0E88" w:rsidRDefault="00CB7C6F" w:rsidP="00AF0E88">
      <w:hyperlink r:id="rId26" w:history="1">
        <w:r w:rsidR="001D1800">
          <w:rPr>
            <w:rStyle w:val="Hyperlink"/>
          </w:rPr>
          <w:t>http://www.saturnsoftwareinc.com/CometSupportFiles/CometChangeLog2008.doc</w:t>
        </w:r>
      </w:hyperlink>
    </w:p>
    <w:p w14:paraId="56BDE276" w14:textId="77777777" w:rsidR="00C66DF3" w:rsidRDefault="00C66DF3"/>
    <w:sectPr w:rsidR="00C66DF3" w:rsidSect="00336A9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8519" w14:textId="77777777" w:rsidR="000E72D0" w:rsidRDefault="000E72D0" w:rsidP="00B007BD">
      <w:r>
        <w:separator/>
      </w:r>
    </w:p>
  </w:endnote>
  <w:endnote w:type="continuationSeparator" w:id="0">
    <w:p w14:paraId="6A0FD256" w14:textId="77777777" w:rsidR="000E72D0" w:rsidRDefault="000E72D0" w:rsidP="00B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7CE5" w14:textId="77777777" w:rsidR="000E72D0" w:rsidRDefault="000E72D0" w:rsidP="00B007BD">
      <w:r>
        <w:separator/>
      </w:r>
    </w:p>
  </w:footnote>
  <w:footnote w:type="continuationSeparator" w:id="0">
    <w:p w14:paraId="05975CEC" w14:textId="77777777" w:rsidR="000E72D0" w:rsidRDefault="000E72D0" w:rsidP="00B0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17A"/>
    <w:multiLevelType w:val="hybridMultilevel"/>
    <w:tmpl w:val="B65C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4E84"/>
    <w:multiLevelType w:val="hybridMultilevel"/>
    <w:tmpl w:val="F8D0FCEA"/>
    <w:lvl w:ilvl="0" w:tplc="FADC5644">
      <w:start w:val="1"/>
      <w:numFmt w:val="low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091753"/>
    <w:multiLevelType w:val="hybridMultilevel"/>
    <w:tmpl w:val="F79E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1F4A"/>
    <w:multiLevelType w:val="hybridMultilevel"/>
    <w:tmpl w:val="10C8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35BC0"/>
    <w:multiLevelType w:val="hybridMultilevel"/>
    <w:tmpl w:val="0176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D2DF6"/>
    <w:multiLevelType w:val="hybridMultilevel"/>
    <w:tmpl w:val="D942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081C"/>
    <w:multiLevelType w:val="hybridMultilevel"/>
    <w:tmpl w:val="08C013C2"/>
    <w:lvl w:ilvl="0" w:tplc="01D21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5C3718"/>
    <w:multiLevelType w:val="hybridMultilevel"/>
    <w:tmpl w:val="D27C8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875432"/>
    <w:multiLevelType w:val="hybridMultilevel"/>
    <w:tmpl w:val="5BE6D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171DB"/>
    <w:multiLevelType w:val="hybridMultilevel"/>
    <w:tmpl w:val="42B6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B3650"/>
    <w:multiLevelType w:val="hybridMultilevel"/>
    <w:tmpl w:val="D8F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B0985"/>
    <w:multiLevelType w:val="hybridMultilevel"/>
    <w:tmpl w:val="B49A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C01C5"/>
    <w:multiLevelType w:val="hybridMultilevel"/>
    <w:tmpl w:val="12B6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152C1"/>
    <w:multiLevelType w:val="hybridMultilevel"/>
    <w:tmpl w:val="E3F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27CBC"/>
    <w:multiLevelType w:val="hybridMultilevel"/>
    <w:tmpl w:val="EA3A6288"/>
    <w:lvl w:ilvl="0" w:tplc="2AA0B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F232F"/>
    <w:multiLevelType w:val="hybridMultilevel"/>
    <w:tmpl w:val="D260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616D"/>
    <w:multiLevelType w:val="hybridMultilevel"/>
    <w:tmpl w:val="9F16B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F05C09"/>
    <w:multiLevelType w:val="hybridMultilevel"/>
    <w:tmpl w:val="345A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031B"/>
    <w:multiLevelType w:val="hybridMultilevel"/>
    <w:tmpl w:val="83E0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564E4"/>
    <w:multiLevelType w:val="hybridMultilevel"/>
    <w:tmpl w:val="39280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00535"/>
    <w:multiLevelType w:val="hybridMultilevel"/>
    <w:tmpl w:val="B5262A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671DBD"/>
    <w:multiLevelType w:val="hybridMultilevel"/>
    <w:tmpl w:val="4EB2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2274A"/>
    <w:multiLevelType w:val="hybridMultilevel"/>
    <w:tmpl w:val="E76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F55"/>
    <w:multiLevelType w:val="hybridMultilevel"/>
    <w:tmpl w:val="0F1E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12841"/>
    <w:multiLevelType w:val="hybridMultilevel"/>
    <w:tmpl w:val="175811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9D525C7"/>
    <w:multiLevelType w:val="hybridMultilevel"/>
    <w:tmpl w:val="EFD4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B666B"/>
    <w:multiLevelType w:val="hybridMultilevel"/>
    <w:tmpl w:val="DC3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F3099"/>
    <w:multiLevelType w:val="hybridMultilevel"/>
    <w:tmpl w:val="3DF6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E3C5D"/>
    <w:multiLevelType w:val="hybridMultilevel"/>
    <w:tmpl w:val="D7C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E5022"/>
    <w:multiLevelType w:val="hybridMultilevel"/>
    <w:tmpl w:val="3E6A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275E1"/>
    <w:multiLevelType w:val="hybridMultilevel"/>
    <w:tmpl w:val="0FD6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B650C"/>
    <w:multiLevelType w:val="hybridMultilevel"/>
    <w:tmpl w:val="B3C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055D2"/>
    <w:multiLevelType w:val="hybridMultilevel"/>
    <w:tmpl w:val="3BB03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1A3E12"/>
    <w:multiLevelType w:val="hybridMultilevel"/>
    <w:tmpl w:val="B5B6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840A2"/>
    <w:multiLevelType w:val="hybridMultilevel"/>
    <w:tmpl w:val="864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90558"/>
    <w:multiLevelType w:val="hybridMultilevel"/>
    <w:tmpl w:val="5212E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8E115A"/>
    <w:multiLevelType w:val="hybridMultilevel"/>
    <w:tmpl w:val="AFF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229B6"/>
    <w:multiLevelType w:val="hybridMultilevel"/>
    <w:tmpl w:val="DB64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407FD"/>
    <w:multiLevelType w:val="hybridMultilevel"/>
    <w:tmpl w:val="94DE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E5D98"/>
    <w:multiLevelType w:val="hybridMultilevel"/>
    <w:tmpl w:val="F7B0BF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334EA2"/>
    <w:multiLevelType w:val="hybridMultilevel"/>
    <w:tmpl w:val="C7B0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0172E"/>
    <w:multiLevelType w:val="hybridMultilevel"/>
    <w:tmpl w:val="310C17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47EA9"/>
    <w:multiLevelType w:val="hybridMultilevel"/>
    <w:tmpl w:val="BF98A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B529C4"/>
    <w:multiLevelType w:val="hybridMultilevel"/>
    <w:tmpl w:val="FBDE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7222F"/>
    <w:multiLevelType w:val="hybridMultilevel"/>
    <w:tmpl w:val="4F04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D0334"/>
    <w:multiLevelType w:val="hybridMultilevel"/>
    <w:tmpl w:val="5F1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5"/>
  </w:num>
  <w:num w:numId="4">
    <w:abstractNumId w:val="40"/>
  </w:num>
  <w:num w:numId="5">
    <w:abstractNumId w:val="32"/>
  </w:num>
  <w:num w:numId="6">
    <w:abstractNumId w:val="33"/>
  </w:num>
  <w:num w:numId="7">
    <w:abstractNumId w:val="45"/>
  </w:num>
  <w:num w:numId="8">
    <w:abstractNumId w:val="21"/>
  </w:num>
  <w:num w:numId="9">
    <w:abstractNumId w:val="22"/>
  </w:num>
  <w:num w:numId="10">
    <w:abstractNumId w:val="36"/>
  </w:num>
  <w:num w:numId="11">
    <w:abstractNumId w:val="35"/>
  </w:num>
  <w:num w:numId="12">
    <w:abstractNumId w:val="19"/>
  </w:num>
  <w:num w:numId="13">
    <w:abstractNumId w:val="24"/>
  </w:num>
  <w:num w:numId="14">
    <w:abstractNumId w:val="18"/>
  </w:num>
  <w:num w:numId="15">
    <w:abstractNumId w:val="8"/>
  </w:num>
  <w:num w:numId="16">
    <w:abstractNumId w:val="1"/>
  </w:num>
  <w:num w:numId="17">
    <w:abstractNumId w:val="41"/>
  </w:num>
  <w:num w:numId="18">
    <w:abstractNumId w:val="6"/>
  </w:num>
  <w:num w:numId="19">
    <w:abstractNumId w:val="14"/>
  </w:num>
  <w:num w:numId="20">
    <w:abstractNumId w:val="39"/>
  </w:num>
  <w:num w:numId="21">
    <w:abstractNumId w:val="38"/>
  </w:num>
  <w:num w:numId="22">
    <w:abstractNumId w:val="11"/>
  </w:num>
  <w:num w:numId="23">
    <w:abstractNumId w:val="29"/>
  </w:num>
  <w:num w:numId="24">
    <w:abstractNumId w:val="42"/>
  </w:num>
  <w:num w:numId="25">
    <w:abstractNumId w:val="43"/>
  </w:num>
  <w:num w:numId="26">
    <w:abstractNumId w:val="30"/>
  </w:num>
  <w:num w:numId="27">
    <w:abstractNumId w:val="25"/>
  </w:num>
  <w:num w:numId="28">
    <w:abstractNumId w:val="3"/>
  </w:num>
  <w:num w:numId="29">
    <w:abstractNumId w:val="26"/>
  </w:num>
  <w:num w:numId="30">
    <w:abstractNumId w:val="2"/>
  </w:num>
  <w:num w:numId="31">
    <w:abstractNumId w:val="10"/>
  </w:num>
  <w:num w:numId="32">
    <w:abstractNumId w:val="28"/>
  </w:num>
  <w:num w:numId="33">
    <w:abstractNumId w:val="12"/>
  </w:num>
  <w:num w:numId="34">
    <w:abstractNumId w:val="23"/>
  </w:num>
  <w:num w:numId="35">
    <w:abstractNumId w:val="0"/>
  </w:num>
  <w:num w:numId="36">
    <w:abstractNumId w:val="3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4"/>
  </w:num>
  <w:num w:numId="40">
    <w:abstractNumId w:val="17"/>
  </w:num>
  <w:num w:numId="41">
    <w:abstractNumId w:val="34"/>
  </w:num>
  <w:num w:numId="42">
    <w:abstractNumId w:val="16"/>
  </w:num>
  <w:num w:numId="43">
    <w:abstractNumId w:val="15"/>
  </w:num>
  <w:num w:numId="44">
    <w:abstractNumId w:val="1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E3D"/>
    <w:rsid w:val="00000C19"/>
    <w:rsid w:val="00006D19"/>
    <w:rsid w:val="00024C1A"/>
    <w:rsid w:val="00025F67"/>
    <w:rsid w:val="00034A3D"/>
    <w:rsid w:val="0003795E"/>
    <w:rsid w:val="00041354"/>
    <w:rsid w:val="000453C7"/>
    <w:rsid w:val="00045B58"/>
    <w:rsid w:val="00047582"/>
    <w:rsid w:val="00050D46"/>
    <w:rsid w:val="000731D1"/>
    <w:rsid w:val="0007332C"/>
    <w:rsid w:val="00080A77"/>
    <w:rsid w:val="00080C89"/>
    <w:rsid w:val="00086FC0"/>
    <w:rsid w:val="0009298C"/>
    <w:rsid w:val="00092C05"/>
    <w:rsid w:val="00094605"/>
    <w:rsid w:val="000A0F59"/>
    <w:rsid w:val="000C094C"/>
    <w:rsid w:val="000C22E5"/>
    <w:rsid w:val="000C47AA"/>
    <w:rsid w:val="000C5669"/>
    <w:rsid w:val="000C66B7"/>
    <w:rsid w:val="000D1196"/>
    <w:rsid w:val="000E48D3"/>
    <w:rsid w:val="000E72D0"/>
    <w:rsid w:val="000F5230"/>
    <w:rsid w:val="00101B9B"/>
    <w:rsid w:val="00101D17"/>
    <w:rsid w:val="00107A92"/>
    <w:rsid w:val="00132CBB"/>
    <w:rsid w:val="00132FF3"/>
    <w:rsid w:val="00133D7B"/>
    <w:rsid w:val="00135DF6"/>
    <w:rsid w:val="00141736"/>
    <w:rsid w:val="00144AF0"/>
    <w:rsid w:val="001464C8"/>
    <w:rsid w:val="00151899"/>
    <w:rsid w:val="0015272F"/>
    <w:rsid w:val="00164292"/>
    <w:rsid w:val="00184463"/>
    <w:rsid w:val="0018757A"/>
    <w:rsid w:val="00193210"/>
    <w:rsid w:val="00195D93"/>
    <w:rsid w:val="001A3CDA"/>
    <w:rsid w:val="001A513D"/>
    <w:rsid w:val="001C5507"/>
    <w:rsid w:val="001D1800"/>
    <w:rsid w:val="001F1258"/>
    <w:rsid w:val="001F453D"/>
    <w:rsid w:val="001F7FA1"/>
    <w:rsid w:val="002038DE"/>
    <w:rsid w:val="00205723"/>
    <w:rsid w:val="002149BF"/>
    <w:rsid w:val="00217159"/>
    <w:rsid w:val="002173DC"/>
    <w:rsid w:val="00220926"/>
    <w:rsid w:val="002218B3"/>
    <w:rsid w:val="002227F7"/>
    <w:rsid w:val="002232A0"/>
    <w:rsid w:val="00226A21"/>
    <w:rsid w:val="002328C1"/>
    <w:rsid w:val="00247ED9"/>
    <w:rsid w:val="002623DB"/>
    <w:rsid w:val="00262FC5"/>
    <w:rsid w:val="00271C82"/>
    <w:rsid w:val="002765ED"/>
    <w:rsid w:val="002768DB"/>
    <w:rsid w:val="002824CB"/>
    <w:rsid w:val="0028266D"/>
    <w:rsid w:val="0028687E"/>
    <w:rsid w:val="002A1D92"/>
    <w:rsid w:val="002A1EFF"/>
    <w:rsid w:val="002A27E1"/>
    <w:rsid w:val="002A7E61"/>
    <w:rsid w:val="002B1705"/>
    <w:rsid w:val="002D0970"/>
    <w:rsid w:val="002D2325"/>
    <w:rsid w:val="002D2CEB"/>
    <w:rsid w:val="002D49B1"/>
    <w:rsid w:val="002D78D5"/>
    <w:rsid w:val="002E4B76"/>
    <w:rsid w:val="002E685C"/>
    <w:rsid w:val="002E705E"/>
    <w:rsid w:val="002F009F"/>
    <w:rsid w:val="002F0C3F"/>
    <w:rsid w:val="00300356"/>
    <w:rsid w:val="00310CB1"/>
    <w:rsid w:val="00312FFF"/>
    <w:rsid w:val="00331C38"/>
    <w:rsid w:val="00333895"/>
    <w:rsid w:val="00335E93"/>
    <w:rsid w:val="00336A92"/>
    <w:rsid w:val="003455AC"/>
    <w:rsid w:val="00350507"/>
    <w:rsid w:val="003564D6"/>
    <w:rsid w:val="00356ECA"/>
    <w:rsid w:val="00356F65"/>
    <w:rsid w:val="00366E57"/>
    <w:rsid w:val="00370FCA"/>
    <w:rsid w:val="00371952"/>
    <w:rsid w:val="00372CE4"/>
    <w:rsid w:val="003934A4"/>
    <w:rsid w:val="003A11F7"/>
    <w:rsid w:val="003B2592"/>
    <w:rsid w:val="003B4BD9"/>
    <w:rsid w:val="003B7BD3"/>
    <w:rsid w:val="003C08BB"/>
    <w:rsid w:val="003E1031"/>
    <w:rsid w:val="003F20F9"/>
    <w:rsid w:val="003F7998"/>
    <w:rsid w:val="004023FD"/>
    <w:rsid w:val="00407C4D"/>
    <w:rsid w:val="004211A8"/>
    <w:rsid w:val="00424CC7"/>
    <w:rsid w:val="004367AB"/>
    <w:rsid w:val="00440AA2"/>
    <w:rsid w:val="00442A7C"/>
    <w:rsid w:val="0044398A"/>
    <w:rsid w:val="00460FA8"/>
    <w:rsid w:val="00462301"/>
    <w:rsid w:val="0046491D"/>
    <w:rsid w:val="0046636A"/>
    <w:rsid w:val="004778E6"/>
    <w:rsid w:val="00494E3D"/>
    <w:rsid w:val="004B1E61"/>
    <w:rsid w:val="004B3046"/>
    <w:rsid w:val="004B403D"/>
    <w:rsid w:val="004B76B5"/>
    <w:rsid w:val="004B7868"/>
    <w:rsid w:val="004C4427"/>
    <w:rsid w:val="004C58A5"/>
    <w:rsid w:val="004D4ADC"/>
    <w:rsid w:val="004E6984"/>
    <w:rsid w:val="005217D3"/>
    <w:rsid w:val="00525F25"/>
    <w:rsid w:val="00535BBF"/>
    <w:rsid w:val="00545D1C"/>
    <w:rsid w:val="00565480"/>
    <w:rsid w:val="00575D47"/>
    <w:rsid w:val="00583504"/>
    <w:rsid w:val="00583CC1"/>
    <w:rsid w:val="005871A3"/>
    <w:rsid w:val="00590E9A"/>
    <w:rsid w:val="005953EF"/>
    <w:rsid w:val="005A2A68"/>
    <w:rsid w:val="005A3099"/>
    <w:rsid w:val="005A47FF"/>
    <w:rsid w:val="005B4912"/>
    <w:rsid w:val="005C56D5"/>
    <w:rsid w:val="005D2323"/>
    <w:rsid w:val="005D2DE5"/>
    <w:rsid w:val="005E48C7"/>
    <w:rsid w:val="005F027C"/>
    <w:rsid w:val="006030C0"/>
    <w:rsid w:val="006263C5"/>
    <w:rsid w:val="006324DB"/>
    <w:rsid w:val="006336BA"/>
    <w:rsid w:val="00634189"/>
    <w:rsid w:val="00652C5E"/>
    <w:rsid w:val="00654BED"/>
    <w:rsid w:val="00661ECE"/>
    <w:rsid w:val="00661ED5"/>
    <w:rsid w:val="00664CAB"/>
    <w:rsid w:val="00667AED"/>
    <w:rsid w:val="00671BCA"/>
    <w:rsid w:val="0068291D"/>
    <w:rsid w:val="00686AA9"/>
    <w:rsid w:val="0069792D"/>
    <w:rsid w:val="006A0293"/>
    <w:rsid w:val="006A4799"/>
    <w:rsid w:val="006C108E"/>
    <w:rsid w:val="006C2DBF"/>
    <w:rsid w:val="006C4552"/>
    <w:rsid w:val="006D68B8"/>
    <w:rsid w:val="006E4817"/>
    <w:rsid w:val="006E7BFA"/>
    <w:rsid w:val="0071498B"/>
    <w:rsid w:val="00714D9D"/>
    <w:rsid w:val="00726209"/>
    <w:rsid w:val="007471A1"/>
    <w:rsid w:val="00753A8A"/>
    <w:rsid w:val="0075437E"/>
    <w:rsid w:val="00771989"/>
    <w:rsid w:val="007809D6"/>
    <w:rsid w:val="00781E37"/>
    <w:rsid w:val="00786F3F"/>
    <w:rsid w:val="00791DE2"/>
    <w:rsid w:val="00797D9D"/>
    <w:rsid w:val="007B729F"/>
    <w:rsid w:val="007D0D19"/>
    <w:rsid w:val="007D4132"/>
    <w:rsid w:val="007D468E"/>
    <w:rsid w:val="007E764B"/>
    <w:rsid w:val="007F6418"/>
    <w:rsid w:val="007F73B4"/>
    <w:rsid w:val="008017EA"/>
    <w:rsid w:val="00807495"/>
    <w:rsid w:val="00816F90"/>
    <w:rsid w:val="008226C6"/>
    <w:rsid w:val="008238C9"/>
    <w:rsid w:val="00836601"/>
    <w:rsid w:val="00841C70"/>
    <w:rsid w:val="008467ED"/>
    <w:rsid w:val="00853E48"/>
    <w:rsid w:val="0086404F"/>
    <w:rsid w:val="008652CA"/>
    <w:rsid w:val="00866B23"/>
    <w:rsid w:val="00872FCA"/>
    <w:rsid w:val="00886877"/>
    <w:rsid w:val="00897C23"/>
    <w:rsid w:val="008A01BB"/>
    <w:rsid w:val="008A23F1"/>
    <w:rsid w:val="008A2FAE"/>
    <w:rsid w:val="008A4699"/>
    <w:rsid w:val="008C0194"/>
    <w:rsid w:val="008C203C"/>
    <w:rsid w:val="008E0FC6"/>
    <w:rsid w:val="008E2A86"/>
    <w:rsid w:val="008E5984"/>
    <w:rsid w:val="008E799D"/>
    <w:rsid w:val="00921F5F"/>
    <w:rsid w:val="00930DD6"/>
    <w:rsid w:val="009548CE"/>
    <w:rsid w:val="00966406"/>
    <w:rsid w:val="0096705E"/>
    <w:rsid w:val="0097495E"/>
    <w:rsid w:val="00975D72"/>
    <w:rsid w:val="009A754A"/>
    <w:rsid w:val="009B7E4E"/>
    <w:rsid w:val="009D07C1"/>
    <w:rsid w:val="009D157F"/>
    <w:rsid w:val="009D2892"/>
    <w:rsid w:val="009D31BA"/>
    <w:rsid w:val="009F2351"/>
    <w:rsid w:val="009F5017"/>
    <w:rsid w:val="009F62EE"/>
    <w:rsid w:val="009F6A6B"/>
    <w:rsid w:val="009F739C"/>
    <w:rsid w:val="00A00F51"/>
    <w:rsid w:val="00A022EC"/>
    <w:rsid w:val="00A034E8"/>
    <w:rsid w:val="00A223E2"/>
    <w:rsid w:val="00A578B5"/>
    <w:rsid w:val="00A6338C"/>
    <w:rsid w:val="00A70019"/>
    <w:rsid w:val="00A77F27"/>
    <w:rsid w:val="00A90718"/>
    <w:rsid w:val="00A91FBF"/>
    <w:rsid w:val="00A92000"/>
    <w:rsid w:val="00A92102"/>
    <w:rsid w:val="00A968C6"/>
    <w:rsid w:val="00AA2A54"/>
    <w:rsid w:val="00AA6AE8"/>
    <w:rsid w:val="00AB2BE0"/>
    <w:rsid w:val="00AB6736"/>
    <w:rsid w:val="00AB76EB"/>
    <w:rsid w:val="00AC0E25"/>
    <w:rsid w:val="00AC639D"/>
    <w:rsid w:val="00AD2EE9"/>
    <w:rsid w:val="00AD5A14"/>
    <w:rsid w:val="00AE0765"/>
    <w:rsid w:val="00AF0E88"/>
    <w:rsid w:val="00AF6A37"/>
    <w:rsid w:val="00B007BD"/>
    <w:rsid w:val="00B028AE"/>
    <w:rsid w:val="00B10ADE"/>
    <w:rsid w:val="00B13D9B"/>
    <w:rsid w:val="00B24BD6"/>
    <w:rsid w:val="00B24E43"/>
    <w:rsid w:val="00B36D55"/>
    <w:rsid w:val="00B426BF"/>
    <w:rsid w:val="00B43E9E"/>
    <w:rsid w:val="00B52BA7"/>
    <w:rsid w:val="00B6358A"/>
    <w:rsid w:val="00B73A38"/>
    <w:rsid w:val="00B80D7A"/>
    <w:rsid w:val="00B86BDF"/>
    <w:rsid w:val="00B90C49"/>
    <w:rsid w:val="00B92DFC"/>
    <w:rsid w:val="00BA1620"/>
    <w:rsid w:val="00BA344C"/>
    <w:rsid w:val="00BA3C7A"/>
    <w:rsid w:val="00BA639B"/>
    <w:rsid w:val="00BB3913"/>
    <w:rsid w:val="00BB6A7F"/>
    <w:rsid w:val="00BD350A"/>
    <w:rsid w:val="00BD4C9B"/>
    <w:rsid w:val="00BD5475"/>
    <w:rsid w:val="00BD647E"/>
    <w:rsid w:val="00BD745F"/>
    <w:rsid w:val="00BE5145"/>
    <w:rsid w:val="00BE6EBA"/>
    <w:rsid w:val="00BF05CB"/>
    <w:rsid w:val="00BF0907"/>
    <w:rsid w:val="00BF645A"/>
    <w:rsid w:val="00C07141"/>
    <w:rsid w:val="00C11FE1"/>
    <w:rsid w:val="00C15586"/>
    <w:rsid w:val="00C1650F"/>
    <w:rsid w:val="00C179B3"/>
    <w:rsid w:val="00C32569"/>
    <w:rsid w:val="00C43149"/>
    <w:rsid w:val="00C45267"/>
    <w:rsid w:val="00C556D4"/>
    <w:rsid w:val="00C6454E"/>
    <w:rsid w:val="00C66DF3"/>
    <w:rsid w:val="00C8045C"/>
    <w:rsid w:val="00C944F0"/>
    <w:rsid w:val="00CA1527"/>
    <w:rsid w:val="00CA2E8A"/>
    <w:rsid w:val="00CA4537"/>
    <w:rsid w:val="00CB0152"/>
    <w:rsid w:val="00CB7C6F"/>
    <w:rsid w:val="00CC1188"/>
    <w:rsid w:val="00CC23EC"/>
    <w:rsid w:val="00CC243B"/>
    <w:rsid w:val="00CC3ED5"/>
    <w:rsid w:val="00CC531E"/>
    <w:rsid w:val="00CD6C6A"/>
    <w:rsid w:val="00CE488C"/>
    <w:rsid w:val="00CF6778"/>
    <w:rsid w:val="00D01705"/>
    <w:rsid w:val="00D12D76"/>
    <w:rsid w:val="00D14746"/>
    <w:rsid w:val="00D17235"/>
    <w:rsid w:val="00D35019"/>
    <w:rsid w:val="00D40879"/>
    <w:rsid w:val="00D51667"/>
    <w:rsid w:val="00D524A0"/>
    <w:rsid w:val="00D53C5D"/>
    <w:rsid w:val="00D56474"/>
    <w:rsid w:val="00D6145A"/>
    <w:rsid w:val="00D628BA"/>
    <w:rsid w:val="00D76D91"/>
    <w:rsid w:val="00D80348"/>
    <w:rsid w:val="00D87B89"/>
    <w:rsid w:val="00DB671A"/>
    <w:rsid w:val="00DC30B3"/>
    <w:rsid w:val="00DE2382"/>
    <w:rsid w:val="00DF29FF"/>
    <w:rsid w:val="00DF7965"/>
    <w:rsid w:val="00E02735"/>
    <w:rsid w:val="00E03137"/>
    <w:rsid w:val="00E16D60"/>
    <w:rsid w:val="00E17111"/>
    <w:rsid w:val="00E20966"/>
    <w:rsid w:val="00E2409F"/>
    <w:rsid w:val="00E26B0C"/>
    <w:rsid w:val="00E30108"/>
    <w:rsid w:val="00E43083"/>
    <w:rsid w:val="00E458BA"/>
    <w:rsid w:val="00E4597D"/>
    <w:rsid w:val="00E568DA"/>
    <w:rsid w:val="00E600F5"/>
    <w:rsid w:val="00E63D93"/>
    <w:rsid w:val="00E70B19"/>
    <w:rsid w:val="00E71B9E"/>
    <w:rsid w:val="00E74FA8"/>
    <w:rsid w:val="00E81654"/>
    <w:rsid w:val="00E82CFE"/>
    <w:rsid w:val="00E84A18"/>
    <w:rsid w:val="00E84F60"/>
    <w:rsid w:val="00E95E93"/>
    <w:rsid w:val="00EB0E28"/>
    <w:rsid w:val="00EB51D1"/>
    <w:rsid w:val="00EC686C"/>
    <w:rsid w:val="00ED4E87"/>
    <w:rsid w:val="00ED7BB9"/>
    <w:rsid w:val="00EE08D6"/>
    <w:rsid w:val="00EE1805"/>
    <w:rsid w:val="00EF2D3A"/>
    <w:rsid w:val="00EF2F69"/>
    <w:rsid w:val="00EF3D8E"/>
    <w:rsid w:val="00F00535"/>
    <w:rsid w:val="00F11A63"/>
    <w:rsid w:val="00F12FE3"/>
    <w:rsid w:val="00F13631"/>
    <w:rsid w:val="00F25328"/>
    <w:rsid w:val="00F30B53"/>
    <w:rsid w:val="00F416AE"/>
    <w:rsid w:val="00F5139A"/>
    <w:rsid w:val="00F51F4E"/>
    <w:rsid w:val="00F6301C"/>
    <w:rsid w:val="00F74B9A"/>
    <w:rsid w:val="00F82ED0"/>
    <w:rsid w:val="00F907C8"/>
    <w:rsid w:val="00F90825"/>
    <w:rsid w:val="00F92465"/>
    <w:rsid w:val="00FA2103"/>
    <w:rsid w:val="00FA440A"/>
    <w:rsid w:val="00FB1479"/>
    <w:rsid w:val="00FB25BB"/>
    <w:rsid w:val="00FB6E37"/>
    <w:rsid w:val="00FC73CC"/>
    <w:rsid w:val="00FD03F5"/>
    <w:rsid w:val="00FD0939"/>
    <w:rsid w:val="00FD3952"/>
    <w:rsid w:val="00FD39DF"/>
    <w:rsid w:val="00FD5DEF"/>
    <w:rsid w:val="00FF0D6E"/>
    <w:rsid w:val="00FF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DF62A"/>
  <w15:chartTrackingRefBased/>
  <w15:docId w15:val="{0C4EDE83-BEFC-46D6-A272-D6E6762C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E4"/>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uiPriority w:val="20"/>
    <w:qFormat/>
    <w:rPr>
      <w:i/>
      <w:iCs/>
    </w:rPr>
  </w:style>
  <w:style w:type="paragraph" w:styleId="BodyText2">
    <w:name w:val="Body Text 2"/>
    <w:basedOn w:val="Normal"/>
    <w:rPr>
      <w:b/>
      <w:bCs/>
      <w:i/>
      <w:iCs/>
    </w:rPr>
  </w:style>
  <w:style w:type="character" w:styleId="Strong">
    <w:name w:val="Strong"/>
    <w:uiPriority w:val="22"/>
    <w:qFormat/>
    <w:rPr>
      <w:b/>
      <w:bCs/>
    </w:rPr>
  </w:style>
  <w:style w:type="paragraph" w:styleId="BodyText3">
    <w:name w:val="Body Text 3"/>
    <w:basedOn w:val="Normal"/>
    <w:rPr>
      <w:i/>
      <w:iCs/>
    </w:rPr>
  </w:style>
  <w:style w:type="character" w:customStyle="1" w:styleId="emailstyle19">
    <w:name w:val="emailstyle19"/>
    <w:semiHidden/>
    <w:rPr>
      <w:rFonts w:ascii="Arial" w:hAnsi="Arial" w:cs="Arial" w:hint="default"/>
      <w:color w:val="000080"/>
      <w:sz w:val="20"/>
      <w:szCs w:val="20"/>
    </w:rPr>
  </w:style>
  <w:style w:type="character" w:customStyle="1" w:styleId="MarkSchine">
    <w:name w:val="Mark Schine"/>
    <w:semiHidden/>
    <w:rPr>
      <w:rFonts w:ascii="Arial" w:hAnsi="Arial" w:cs="Arial"/>
      <w:color w:val="auto"/>
      <w:sz w:val="20"/>
      <w:szCs w:val="20"/>
    </w:rPr>
  </w:style>
  <w:style w:type="paragraph" w:styleId="ListParagraph">
    <w:name w:val="List Paragraph"/>
    <w:basedOn w:val="Normal"/>
    <w:uiPriority w:val="34"/>
    <w:qFormat/>
    <w:rsid w:val="00786F3F"/>
    <w:pPr>
      <w:ind w:left="720"/>
    </w:pPr>
  </w:style>
  <w:style w:type="character" w:customStyle="1" w:styleId="emailstyle17">
    <w:name w:val="emailstyle17"/>
    <w:semiHidden/>
    <w:rsid w:val="004C58A5"/>
    <w:rPr>
      <w:rFonts w:ascii="Calibri" w:hAnsi="Calibri" w:hint="default"/>
      <w:color w:val="auto"/>
    </w:rPr>
  </w:style>
  <w:style w:type="paragraph" w:styleId="Header">
    <w:name w:val="header"/>
    <w:basedOn w:val="Normal"/>
    <w:link w:val="HeaderChar"/>
    <w:uiPriority w:val="99"/>
    <w:semiHidden/>
    <w:unhideWhenUsed/>
    <w:rsid w:val="00B007BD"/>
    <w:pPr>
      <w:tabs>
        <w:tab w:val="center" w:pos="4680"/>
        <w:tab w:val="right" w:pos="9360"/>
      </w:tabs>
    </w:pPr>
  </w:style>
  <w:style w:type="character" w:customStyle="1" w:styleId="HeaderChar">
    <w:name w:val="Header Char"/>
    <w:link w:val="Header"/>
    <w:uiPriority w:val="99"/>
    <w:semiHidden/>
    <w:rsid w:val="00B007BD"/>
    <w:rPr>
      <w:sz w:val="24"/>
      <w:szCs w:val="24"/>
    </w:rPr>
  </w:style>
  <w:style w:type="paragraph" w:styleId="Footer">
    <w:name w:val="footer"/>
    <w:basedOn w:val="Normal"/>
    <w:link w:val="FooterChar"/>
    <w:uiPriority w:val="99"/>
    <w:semiHidden/>
    <w:unhideWhenUsed/>
    <w:rsid w:val="00B007BD"/>
    <w:pPr>
      <w:tabs>
        <w:tab w:val="center" w:pos="4680"/>
        <w:tab w:val="right" w:pos="9360"/>
      </w:tabs>
    </w:pPr>
  </w:style>
  <w:style w:type="character" w:customStyle="1" w:styleId="FooterChar">
    <w:name w:val="Footer Char"/>
    <w:link w:val="Footer"/>
    <w:uiPriority w:val="99"/>
    <w:semiHidden/>
    <w:rsid w:val="00B007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777">
      <w:bodyDiv w:val="1"/>
      <w:marLeft w:val="0"/>
      <w:marRight w:val="0"/>
      <w:marTop w:val="0"/>
      <w:marBottom w:val="0"/>
      <w:divBdr>
        <w:top w:val="none" w:sz="0" w:space="0" w:color="auto"/>
        <w:left w:val="none" w:sz="0" w:space="0" w:color="auto"/>
        <w:bottom w:val="none" w:sz="0" w:space="0" w:color="auto"/>
        <w:right w:val="none" w:sz="0" w:space="0" w:color="auto"/>
      </w:divBdr>
    </w:div>
    <w:div w:id="84349971">
      <w:bodyDiv w:val="1"/>
      <w:marLeft w:val="0"/>
      <w:marRight w:val="0"/>
      <w:marTop w:val="0"/>
      <w:marBottom w:val="0"/>
      <w:divBdr>
        <w:top w:val="none" w:sz="0" w:space="0" w:color="auto"/>
        <w:left w:val="none" w:sz="0" w:space="0" w:color="auto"/>
        <w:bottom w:val="none" w:sz="0" w:space="0" w:color="auto"/>
        <w:right w:val="none" w:sz="0" w:space="0" w:color="auto"/>
      </w:divBdr>
    </w:div>
    <w:div w:id="85926687">
      <w:bodyDiv w:val="1"/>
      <w:marLeft w:val="0"/>
      <w:marRight w:val="0"/>
      <w:marTop w:val="0"/>
      <w:marBottom w:val="0"/>
      <w:divBdr>
        <w:top w:val="none" w:sz="0" w:space="0" w:color="auto"/>
        <w:left w:val="none" w:sz="0" w:space="0" w:color="auto"/>
        <w:bottom w:val="none" w:sz="0" w:space="0" w:color="auto"/>
        <w:right w:val="none" w:sz="0" w:space="0" w:color="auto"/>
      </w:divBdr>
    </w:div>
    <w:div w:id="220676983">
      <w:bodyDiv w:val="1"/>
      <w:marLeft w:val="0"/>
      <w:marRight w:val="0"/>
      <w:marTop w:val="0"/>
      <w:marBottom w:val="0"/>
      <w:divBdr>
        <w:top w:val="none" w:sz="0" w:space="0" w:color="auto"/>
        <w:left w:val="none" w:sz="0" w:space="0" w:color="auto"/>
        <w:bottom w:val="none" w:sz="0" w:space="0" w:color="auto"/>
        <w:right w:val="none" w:sz="0" w:space="0" w:color="auto"/>
      </w:divBdr>
    </w:div>
    <w:div w:id="225452668">
      <w:bodyDiv w:val="1"/>
      <w:marLeft w:val="0"/>
      <w:marRight w:val="0"/>
      <w:marTop w:val="0"/>
      <w:marBottom w:val="0"/>
      <w:divBdr>
        <w:top w:val="none" w:sz="0" w:space="0" w:color="auto"/>
        <w:left w:val="none" w:sz="0" w:space="0" w:color="auto"/>
        <w:bottom w:val="none" w:sz="0" w:space="0" w:color="auto"/>
        <w:right w:val="none" w:sz="0" w:space="0" w:color="auto"/>
      </w:divBdr>
    </w:div>
    <w:div w:id="254632414">
      <w:bodyDiv w:val="1"/>
      <w:marLeft w:val="0"/>
      <w:marRight w:val="0"/>
      <w:marTop w:val="0"/>
      <w:marBottom w:val="0"/>
      <w:divBdr>
        <w:top w:val="none" w:sz="0" w:space="0" w:color="auto"/>
        <w:left w:val="none" w:sz="0" w:space="0" w:color="auto"/>
        <w:bottom w:val="none" w:sz="0" w:space="0" w:color="auto"/>
        <w:right w:val="none" w:sz="0" w:space="0" w:color="auto"/>
      </w:divBdr>
    </w:div>
    <w:div w:id="257639999">
      <w:bodyDiv w:val="1"/>
      <w:marLeft w:val="0"/>
      <w:marRight w:val="0"/>
      <w:marTop w:val="0"/>
      <w:marBottom w:val="0"/>
      <w:divBdr>
        <w:top w:val="none" w:sz="0" w:space="0" w:color="auto"/>
        <w:left w:val="none" w:sz="0" w:space="0" w:color="auto"/>
        <w:bottom w:val="none" w:sz="0" w:space="0" w:color="auto"/>
        <w:right w:val="none" w:sz="0" w:space="0" w:color="auto"/>
      </w:divBdr>
    </w:div>
    <w:div w:id="301934507">
      <w:bodyDiv w:val="1"/>
      <w:marLeft w:val="0"/>
      <w:marRight w:val="0"/>
      <w:marTop w:val="0"/>
      <w:marBottom w:val="0"/>
      <w:divBdr>
        <w:top w:val="none" w:sz="0" w:space="0" w:color="auto"/>
        <w:left w:val="none" w:sz="0" w:space="0" w:color="auto"/>
        <w:bottom w:val="none" w:sz="0" w:space="0" w:color="auto"/>
        <w:right w:val="none" w:sz="0" w:space="0" w:color="auto"/>
      </w:divBdr>
    </w:div>
    <w:div w:id="388725671">
      <w:bodyDiv w:val="1"/>
      <w:marLeft w:val="0"/>
      <w:marRight w:val="0"/>
      <w:marTop w:val="0"/>
      <w:marBottom w:val="0"/>
      <w:divBdr>
        <w:top w:val="none" w:sz="0" w:space="0" w:color="auto"/>
        <w:left w:val="none" w:sz="0" w:space="0" w:color="auto"/>
        <w:bottom w:val="none" w:sz="0" w:space="0" w:color="auto"/>
        <w:right w:val="none" w:sz="0" w:space="0" w:color="auto"/>
      </w:divBdr>
    </w:div>
    <w:div w:id="399718556">
      <w:bodyDiv w:val="1"/>
      <w:marLeft w:val="0"/>
      <w:marRight w:val="0"/>
      <w:marTop w:val="0"/>
      <w:marBottom w:val="0"/>
      <w:divBdr>
        <w:top w:val="none" w:sz="0" w:space="0" w:color="auto"/>
        <w:left w:val="none" w:sz="0" w:space="0" w:color="auto"/>
        <w:bottom w:val="none" w:sz="0" w:space="0" w:color="auto"/>
        <w:right w:val="none" w:sz="0" w:space="0" w:color="auto"/>
      </w:divBdr>
    </w:div>
    <w:div w:id="399863614">
      <w:bodyDiv w:val="1"/>
      <w:marLeft w:val="0"/>
      <w:marRight w:val="0"/>
      <w:marTop w:val="0"/>
      <w:marBottom w:val="0"/>
      <w:divBdr>
        <w:top w:val="none" w:sz="0" w:space="0" w:color="auto"/>
        <w:left w:val="none" w:sz="0" w:space="0" w:color="auto"/>
        <w:bottom w:val="none" w:sz="0" w:space="0" w:color="auto"/>
        <w:right w:val="none" w:sz="0" w:space="0" w:color="auto"/>
      </w:divBdr>
    </w:div>
    <w:div w:id="609819247">
      <w:bodyDiv w:val="1"/>
      <w:marLeft w:val="0"/>
      <w:marRight w:val="0"/>
      <w:marTop w:val="0"/>
      <w:marBottom w:val="0"/>
      <w:divBdr>
        <w:top w:val="none" w:sz="0" w:space="0" w:color="auto"/>
        <w:left w:val="none" w:sz="0" w:space="0" w:color="auto"/>
        <w:bottom w:val="none" w:sz="0" w:space="0" w:color="auto"/>
        <w:right w:val="none" w:sz="0" w:space="0" w:color="auto"/>
      </w:divBdr>
    </w:div>
    <w:div w:id="982005318">
      <w:bodyDiv w:val="1"/>
      <w:marLeft w:val="0"/>
      <w:marRight w:val="0"/>
      <w:marTop w:val="0"/>
      <w:marBottom w:val="0"/>
      <w:divBdr>
        <w:top w:val="none" w:sz="0" w:space="0" w:color="auto"/>
        <w:left w:val="none" w:sz="0" w:space="0" w:color="auto"/>
        <w:bottom w:val="none" w:sz="0" w:space="0" w:color="auto"/>
        <w:right w:val="none" w:sz="0" w:space="0" w:color="auto"/>
      </w:divBdr>
    </w:div>
    <w:div w:id="1035158335">
      <w:bodyDiv w:val="1"/>
      <w:marLeft w:val="0"/>
      <w:marRight w:val="0"/>
      <w:marTop w:val="0"/>
      <w:marBottom w:val="0"/>
      <w:divBdr>
        <w:top w:val="none" w:sz="0" w:space="0" w:color="auto"/>
        <w:left w:val="none" w:sz="0" w:space="0" w:color="auto"/>
        <w:bottom w:val="none" w:sz="0" w:space="0" w:color="auto"/>
        <w:right w:val="none" w:sz="0" w:space="0" w:color="auto"/>
      </w:divBdr>
    </w:div>
    <w:div w:id="1077677330">
      <w:bodyDiv w:val="1"/>
      <w:marLeft w:val="0"/>
      <w:marRight w:val="0"/>
      <w:marTop w:val="0"/>
      <w:marBottom w:val="0"/>
      <w:divBdr>
        <w:top w:val="none" w:sz="0" w:space="0" w:color="auto"/>
        <w:left w:val="none" w:sz="0" w:space="0" w:color="auto"/>
        <w:bottom w:val="none" w:sz="0" w:space="0" w:color="auto"/>
        <w:right w:val="none" w:sz="0" w:space="0" w:color="auto"/>
      </w:divBdr>
    </w:div>
    <w:div w:id="1182429695">
      <w:bodyDiv w:val="1"/>
      <w:marLeft w:val="0"/>
      <w:marRight w:val="0"/>
      <w:marTop w:val="0"/>
      <w:marBottom w:val="0"/>
      <w:divBdr>
        <w:top w:val="none" w:sz="0" w:space="0" w:color="auto"/>
        <w:left w:val="none" w:sz="0" w:space="0" w:color="auto"/>
        <w:bottom w:val="none" w:sz="0" w:space="0" w:color="auto"/>
        <w:right w:val="none" w:sz="0" w:space="0" w:color="auto"/>
      </w:divBdr>
    </w:div>
    <w:div w:id="1190534928">
      <w:bodyDiv w:val="1"/>
      <w:marLeft w:val="0"/>
      <w:marRight w:val="0"/>
      <w:marTop w:val="0"/>
      <w:marBottom w:val="0"/>
      <w:divBdr>
        <w:top w:val="none" w:sz="0" w:space="0" w:color="auto"/>
        <w:left w:val="none" w:sz="0" w:space="0" w:color="auto"/>
        <w:bottom w:val="none" w:sz="0" w:space="0" w:color="auto"/>
        <w:right w:val="none" w:sz="0" w:space="0" w:color="auto"/>
      </w:divBdr>
    </w:div>
    <w:div w:id="1233469594">
      <w:bodyDiv w:val="1"/>
      <w:marLeft w:val="0"/>
      <w:marRight w:val="0"/>
      <w:marTop w:val="0"/>
      <w:marBottom w:val="0"/>
      <w:divBdr>
        <w:top w:val="none" w:sz="0" w:space="0" w:color="auto"/>
        <w:left w:val="none" w:sz="0" w:space="0" w:color="auto"/>
        <w:bottom w:val="none" w:sz="0" w:space="0" w:color="auto"/>
        <w:right w:val="none" w:sz="0" w:space="0" w:color="auto"/>
      </w:divBdr>
    </w:div>
    <w:div w:id="1272324020">
      <w:bodyDiv w:val="1"/>
      <w:marLeft w:val="0"/>
      <w:marRight w:val="0"/>
      <w:marTop w:val="0"/>
      <w:marBottom w:val="0"/>
      <w:divBdr>
        <w:top w:val="none" w:sz="0" w:space="0" w:color="auto"/>
        <w:left w:val="none" w:sz="0" w:space="0" w:color="auto"/>
        <w:bottom w:val="none" w:sz="0" w:space="0" w:color="auto"/>
        <w:right w:val="none" w:sz="0" w:space="0" w:color="auto"/>
      </w:divBdr>
    </w:div>
    <w:div w:id="1354459945">
      <w:bodyDiv w:val="1"/>
      <w:marLeft w:val="0"/>
      <w:marRight w:val="0"/>
      <w:marTop w:val="0"/>
      <w:marBottom w:val="0"/>
      <w:divBdr>
        <w:top w:val="none" w:sz="0" w:space="0" w:color="auto"/>
        <w:left w:val="none" w:sz="0" w:space="0" w:color="auto"/>
        <w:bottom w:val="none" w:sz="0" w:space="0" w:color="auto"/>
        <w:right w:val="none" w:sz="0" w:space="0" w:color="auto"/>
      </w:divBdr>
    </w:div>
    <w:div w:id="1359894459">
      <w:bodyDiv w:val="1"/>
      <w:marLeft w:val="0"/>
      <w:marRight w:val="0"/>
      <w:marTop w:val="0"/>
      <w:marBottom w:val="0"/>
      <w:divBdr>
        <w:top w:val="none" w:sz="0" w:space="0" w:color="auto"/>
        <w:left w:val="none" w:sz="0" w:space="0" w:color="auto"/>
        <w:bottom w:val="none" w:sz="0" w:space="0" w:color="auto"/>
        <w:right w:val="none" w:sz="0" w:space="0" w:color="auto"/>
      </w:divBdr>
    </w:div>
    <w:div w:id="1457869750">
      <w:bodyDiv w:val="1"/>
      <w:marLeft w:val="0"/>
      <w:marRight w:val="0"/>
      <w:marTop w:val="0"/>
      <w:marBottom w:val="0"/>
      <w:divBdr>
        <w:top w:val="none" w:sz="0" w:space="0" w:color="auto"/>
        <w:left w:val="none" w:sz="0" w:space="0" w:color="auto"/>
        <w:bottom w:val="none" w:sz="0" w:space="0" w:color="auto"/>
        <w:right w:val="none" w:sz="0" w:space="0" w:color="auto"/>
      </w:divBdr>
    </w:div>
    <w:div w:id="1485973808">
      <w:bodyDiv w:val="1"/>
      <w:marLeft w:val="0"/>
      <w:marRight w:val="0"/>
      <w:marTop w:val="0"/>
      <w:marBottom w:val="0"/>
      <w:divBdr>
        <w:top w:val="none" w:sz="0" w:space="0" w:color="auto"/>
        <w:left w:val="none" w:sz="0" w:space="0" w:color="auto"/>
        <w:bottom w:val="none" w:sz="0" w:space="0" w:color="auto"/>
        <w:right w:val="none" w:sz="0" w:space="0" w:color="auto"/>
      </w:divBdr>
    </w:div>
    <w:div w:id="1593777287">
      <w:bodyDiv w:val="1"/>
      <w:marLeft w:val="0"/>
      <w:marRight w:val="0"/>
      <w:marTop w:val="0"/>
      <w:marBottom w:val="0"/>
      <w:divBdr>
        <w:top w:val="none" w:sz="0" w:space="0" w:color="auto"/>
        <w:left w:val="none" w:sz="0" w:space="0" w:color="auto"/>
        <w:bottom w:val="none" w:sz="0" w:space="0" w:color="auto"/>
        <w:right w:val="none" w:sz="0" w:space="0" w:color="auto"/>
      </w:divBdr>
    </w:div>
    <w:div w:id="1702708499">
      <w:bodyDiv w:val="1"/>
      <w:marLeft w:val="0"/>
      <w:marRight w:val="0"/>
      <w:marTop w:val="0"/>
      <w:marBottom w:val="0"/>
      <w:divBdr>
        <w:top w:val="none" w:sz="0" w:space="0" w:color="auto"/>
        <w:left w:val="none" w:sz="0" w:space="0" w:color="auto"/>
        <w:bottom w:val="none" w:sz="0" w:space="0" w:color="auto"/>
        <w:right w:val="none" w:sz="0" w:space="0" w:color="auto"/>
      </w:divBdr>
    </w:div>
    <w:div w:id="1739937458">
      <w:bodyDiv w:val="1"/>
      <w:marLeft w:val="0"/>
      <w:marRight w:val="0"/>
      <w:marTop w:val="0"/>
      <w:marBottom w:val="0"/>
      <w:divBdr>
        <w:top w:val="none" w:sz="0" w:space="0" w:color="auto"/>
        <w:left w:val="none" w:sz="0" w:space="0" w:color="auto"/>
        <w:bottom w:val="none" w:sz="0" w:space="0" w:color="auto"/>
        <w:right w:val="none" w:sz="0" w:space="0" w:color="auto"/>
      </w:divBdr>
    </w:div>
    <w:div w:id="1834562201">
      <w:bodyDiv w:val="1"/>
      <w:marLeft w:val="0"/>
      <w:marRight w:val="0"/>
      <w:marTop w:val="0"/>
      <w:marBottom w:val="0"/>
      <w:divBdr>
        <w:top w:val="none" w:sz="0" w:space="0" w:color="auto"/>
        <w:left w:val="none" w:sz="0" w:space="0" w:color="auto"/>
        <w:bottom w:val="none" w:sz="0" w:space="0" w:color="auto"/>
        <w:right w:val="none" w:sz="0" w:space="0" w:color="auto"/>
      </w:divBdr>
    </w:div>
    <w:div w:id="1838837215">
      <w:bodyDiv w:val="1"/>
      <w:marLeft w:val="0"/>
      <w:marRight w:val="0"/>
      <w:marTop w:val="0"/>
      <w:marBottom w:val="0"/>
      <w:divBdr>
        <w:top w:val="none" w:sz="0" w:space="0" w:color="auto"/>
        <w:left w:val="none" w:sz="0" w:space="0" w:color="auto"/>
        <w:bottom w:val="none" w:sz="0" w:space="0" w:color="auto"/>
        <w:right w:val="none" w:sz="0" w:space="0" w:color="auto"/>
      </w:divBdr>
      <w:divsChild>
        <w:div w:id="20517976">
          <w:marLeft w:val="0"/>
          <w:marRight w:val="0"/>
          <w:marTop w:val="0"/>
          <w:marBottom w:val="0"/>
          <w:divBdr>
            <w:top w:val="none" w:sz="0" w:space="0" w:color="auto"/>
            <w:left w:val="none" w:sz="0" w:space="0" w:color="auto"/>
            <w:bottom w:val="none" w:sz="0" w:space="0" w:color="auto"/>
            <w:right w:val="none" w:sz="0" w:space="0" w:color="auto"/>
          </w:divBdr>
        </w:div>
        <w:div w:id="66272105">
          <w:marLeft w:val="0"/>
          <w:marRight w:val="0"/>
          <w:marTop w:val="0"/>
          <w:marBottom w:val="0"/>
          <w:divBdr>
            <w:top w:val="none" w:sz="0" w:space="0" w:color="auto"/>
            <w:left w:val="none" w:sz="0" w:space="0" w:color="auto"/>
            <w:bottom w:val="none" w:sz="0" w:space="0" w:color="auto"/>
            <w:right w:val="none" w:sz="0" w:space="0" w:color="auto"/>
          </w:divBdr>
        </w:div>
        <w:div w:id="82924256">
          <w:marLeft w:val="0"/>
          <w:marRight w:val="0"/>
          <w:marTop w:val="0"/>
          <w:marBottom w:val="0"/>
          <w:divBdr>
            <w:top w:val="none" w:sz="0" w:space="0" w:color="auto"/>
            <w:left w:val="none" w:sz="0" w:space="0" w:color="auto"/>
            <w:bottom w:val="none" w:sz="0" w:space="0" w:color="auto"/>
            <w:right w:val="none" w:sz="0" w:space="0" w:color="auto"/>
          </w:divBdr>
        </w:div>
        <w:div w:id="159657050">
          <w:marLeft w:val="0"/>
          <w:marRight w:val="0"/>
          <w:marTop w:val="0"/>
          <w:marBottom w:val="0"/>
          <w:divBdr>
            <w:top w:val="none" w:sz="0" w:space="0" w:color="auto"/>
            <w:left w:val="none" w:sz="0" w:space="0" w:color="auto"/>
            <w:bottom w:val="none" w:sz="0" w:space="0" w:color="auto"/>
            <w:right w:val="none" w:sz="0" w:space="0" w:color="auto"/>
          </w:divBdr>
        </w:div>
        <w:div w:id="222453956">
          <w:marLeft w:val="0"/>
          <w:marRight w:val="0"/>
          <w:marTop w:val="0"/>
          <w:marBottom w:val="0"/>
          <w:divBdr>
            <w:top w:val="none" w:sz="0" w:space="0" w:color="auto"/>
            <w:left w:val="none" w:sz="0" w:space="0" w:color="auto"/>
            <w:bottom w:val="none" w:sz="0" w:space="0" w:color="auto"/>
            <w:right w:val="none" w:sz="0" w:space="0" w:color="auto"/>
          </w:divBdr>
        </w:div>
        <w:div w:id="661666752">
          <w:marLeft w:val="0"/>
          <w:marRight w:val="0"/>
          <w:marTop w:val="0"/>
          <w:marBottom w:val="0"/>
          <w:divBdr>
            <w:top w:val="none" w:sz="0" w:space="0" w:color="auto"/>
            <w:left w:val="none" w:sz="0" w:space="0" w:color="auto"/>
            <w:bottom w:val="none" w:sz="0" w:space="0" w:color="auto"/>
            <w:right w:val="none" w:sz="0" w:space="0" w:color="auto"/>
          </w:divBdr>
        </w:div>
        <w:div w:id="1016463720">
          <w:marLeft w:val="0"/>
          <w:marRight w:val="0"/>
          <w:marTop w:val="0"/>
          <w:marBottom w:val="0"/>
          <w:divBdr>
            <w:top w:val="none" w:sz="0" w:space="0" w:color="auto"/>
            <w:left w:val="none" w:sz="0" w:space="0" w:color="auto"/>
            <w:bottom w:val="none" w:sz="0" w:space="0" w:color="auto"/>
            <w:right w:val="none" w:sz="0" w:space="0" w:color="auto"/>
          </w:divBdr>
        </w:div>
        <w:div w:id="1142120356">
          <w:marLeft w:val="0"/>
          <w:marRight w:val="0"/>
          <w:marTop w:val="0"/>
          <w:marBottom w:val="0"/>
          <w:divBdr>
            <w:top w:val="none" w:sz="0" w:space="0" w:color="auto"/>
            <w:left w:val="none" w:sz="0" w:space="0" w:color="auto"/>
            <w:bottom w:val="none" w:sz="0" w:space="0" w:color="auto"/>
            <w:right w:val="none" w:sz="0" w:space="0" w:color="auto"/>
          </w:divBdr>
        </w:div>
        <w:div w:id="1340473680">
          <w:marLeft w:val="0"/>
          <w:marRight w:val="0"/>
          <w:marTop w:val="0"/>
          <w:marBottom w:val="0"/>
          <w:divBdr>
            <w:top w:val="none" w:sz="0" w:space="0" w:color="auto"/>
            <w:left w:val="none" w:sz="0" w:space="0" w:color="auto"/>
            <w:bottom w:val="none" w:sz="0" w:space="0" w:color="auto"/>
            <w:right w:val="none" w:sz="0" w:space="0" w:color="auto"/>
          </w:divBdr>
        </w:div>
        <w:div w:id="1470660475">
          <w:marLeft w:val="0"/>
          <w:marRight w:val="0"/>
          <w:marTop w:val="0"/>
          <w:marBottom w:val="0"/>
          <w:divBdr>
            <w:top w:val="none" w:sz="0" w:space="0" w:color="auto"/>
            <w:left w:val="none" w:sz="0" w:space="0" w:color="auto"/>
            <w:bottom w:val="none" w:sz="0" w:space="0" w:color="auto"/>
            <w:right w:val="none" w:sz="0" w:space="0" w:color="auto"/>
          </w:divBdr>
        </w:div>
        <w:div w:id="1739747379">
          <w:marLeft w:val="0"/>
          <w:marRight w:val="0"/>
          <w:marTop w:val="0"/>
          <w:marBottom w:val="0"/>
          <w:divBdr>
            <w:top w:val="none" w:sz="0" w:space="0" w:color="auto"/>
            <w:left w:val="none" w:sz="0" w:space="0" w:color="auto"/>
            <w:bottom w:val="none" w:sz="0" w:space="0" w:color="auto"/>
            <w:right w:val="none" w:sz="0" w:space="0" w:color="auto"/>
          </w:divBdr>
        </w:div>
        <w:div w:id="2031947310">
          <w:marLeft w:val="0"/>
          <w:marRight w:val="0"/>
          <w:marTop w:val="0"/>
          <w:marBottom w:val="0"/>
          <w:divBdr>
            <w:top w:val="none" w:sz="0" w:space="0" w:color="auto"/>
            <w:left w:val="none" w:sz="0" w:space="0" w:color="auto"/>
            <w:bottom w:val="none" w:sz="0" w:space="0" w:color="auto"/>
            <w:right w:val="none" w:sz="0" w:space="0" w:color="auto"/>
          </w:divBdr>
        </w:div>
        <w:div w:id="2066710394">
          <w:marLeft w:val="0"/>
          <w:marRight w:val="0"/>
          <w:marTop w:val="0"/>
          <w:marBottom w:val="0"/>
          <w:divBdr>
            <w:top w:val="none" w:sz="0" w:space="0" w:color="auto"/>
            <w:left w:val="none" w:sz="0" w:space="0" w:color="auto"/>
            <w:bottom w:val="none" w:sz="0" w:space="0" w:color="auto"/>
            <w:right w:val="none" w:sz="0" w:space="0" w:color="auto"/>
          </w:divBdr>
        </w:div>
        <w:div w:id="2078939655">
          <w:marLeft w:val="0"/>
          <w:marRight w:val="0"/>
          <w:marTop w:val="0"/>
          <w:marBottom w:val="0"/>
          <w:divBdr>
            <w:top w:val="none" w:sz="0" w:space="0" w:color="auto"/>
            <w:left w:val="none" w:sz="0" w:space="0" w:color="auto"/>
            <w:bottom w:val="none" w:sz="0" w:space="0" w:color="auto"/>
            <w:right w:val="none" w:sz="0" w:space="0" w:color="auto"/>
          </w:divBdr>
        </w:div>
        <w:div w:id="2133594418">
          <w:marLeft w:val="0"/>
          <w:marRight w:val="0"/>
          <w:marTop w:val="0"/>
          <w:marBottom w:val="0"/>
          <w:divBdr>
            <w:top w:val="none" w:sz="0" w:space="0" w:color="auto"/>
            <w:left w:val="none" w:sz="0" w:space="0" w:color="auto"/>
            <w:bottom w:val="none" w:sz="0" w:space="0" w:color="auto"/>
            <w:right w:val="none" w:sz="0" w:space="0" w:color="auto"/>
          </w:divBdr>
        </w:div>
      </w:divsChild>
    </w:div>
    <w:div w:id="1925993921">
      <w:bodyDiv w:val="1"/>
      <w:marLeft w:val="0"/>
      <w:marRight w:val="0"/>
      <w:marTop w:val="0"/>
      <w:marBottom w:val="0"/>
      <w:divBdr>
        <w:top w:val="none" w:sz="0" w:space="0" w:color="auto"/>
        <w:left w:val="none" w:sz="0" w:space="0" w:color="auto"/>
        <w:bottom w:val="none" w:sz="0" w:space="0" w:color="auto"/>
        <w:right w:val="none" w:sz="0" w:space="0" w:color="auto"/>
      </w:divBdr>
    </w:div>
    <w:div w:id="1943608497">
      <w:bodyDiv w:val="1"/>
      <w:marLeft w:val="0"/>
      <w:marRight w:val="0"/>
      <w:marTop w:val="0"/>
      <w:marBottom w:val="0"/>
      <w:divBdr>
        <w:top w:val="none" w:sz="0" w:space="0" w:color="auto"/>
        <w:left w:val="none" w:sz="0" w:space="0" w:color="auto"/>
        <w:bottom w:val="none" w:sz="0" w:space="0" w:color="auto"/>
        <w:right w:val="none" w:sz="0" w:space="0" w:color="auto"/>
      </w:divBdr>
    </w:div>
    <w:div w:id="1975677223">
      <w:bodyDiv w:val="1"/>
      <w:marLeft w:val="0"/>
      <w:marRight w:val="0"/>
      <w:marTop w:val="0"/>
      <w:marBottom w:val="0"/>
      <w:divBdr>
        <w:top w:val="none" w:sz="0" w:space="0" w:color="auto"/>
        <w:left w:val="none" w:sz="0" w:space="0" w:color="auto"/>
        <w:bottom w:val="none" w:sz="0" w:space="0" w:color="auto"/>
        <w:right w:val="none" w:sz="0" w:space="0" w:color="auto"/>
      </w:divBdr>
    </w:div>
    <w:div w:id="20454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saturnsoftwareinc.com/CometSupportFiles/CometChangeLog2008.doc"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saturnsoftwareinc.com/CometSupportFiles/CometChangeLog2010.doc" TargetMode="Externa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Dell Computer Corporation</Company>
  <LinksUpToDate>false</LinksUpToDate>
  <CharactersWithSpaces>11148</CharactersWithSpaces>
  <SharedDoc>false</SharedDoc>
  <HLinks>
    <vt:vector size="12" baseType="variant">
      <vt:variant>
        <vt:i4>720908</vt:i4>
      </vt:variant>
      <vt:variant>
        <vt:i4>6</vt:i4>
      </vt:variant>
      <vt:variant>
        <vt:i4>0</vt:i4>
      </vt:variant>
      <vt:variant>
        <vt:i4>5</vt:i4>
      </vt:variant>
      <vt:variant>
        <vt:lpwstr>http://www.saturnsoftwareinc.com/CometSupportFiles/CometChangeLog2008.doc</vt:lpwstr>
      </vt:variant>
      <vt:variant>
        <vt:lpwstr/>
      </vt:variant>
      <vt:variant>
        <vt:i4>655364</vt:i4>
      </vt:variant>
      <vt:variant>
        <vt:i4>0</vt:i4>
      </vt:variant>
      <vt:variant>
        <vt:i4>0</vt:i4>
      </vt:variant>
      <vt:variant>
        <vt:i4>5</vt:i4>
      </vt:variant>
      <vt:variant>
        <vt:lpwstr>http://www.saturnsoftwareinc.com/CometSupportFiles/CometChangeLog2010.doc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dc:description/>
  <cp:lastModifiedBy>Mark Schine</cp:lastModifiedBy>
  <cp:revision>3</cp:revision>
  <cp:lastPrinted>2006-03-01T10:58:00Z</cp:lastPrinted>
  <dcterms:created xsi:type="dcterms:W3CDTF">2021-07-23T20:40:00Z</dcterms:created>
  <dcterms:modified xsi:type="dcterms:W3CDTF">2021-07-23T20:40:00Z</dcterms:modified>
</cp:coreProperties>
</file>