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6DF3" w:rsidRDefault="00C66DF3">
      <w:pPr>
        <w:pStyle w:val="Heading1"/>
        <w:rPr>
          <w:rFonts w:ascii="Times New Roman" w:hAnsi="Times New Roman" w:cs="Times New Roman"/>
          <w:b w:val="0"/>
          <w:sz w:val="22"/>
          <w:szCs w:val="22"/>
          <w:u w:val="none"/>
        </w:rPr>
      </w:pPr>
      <w:r>
        <w:rPr>
          <w:rFonts w:ascii="Times New Roman" w:hAnsi="Times New Roman" w:cs="Times New Roman"/>
          <w:sz w:val="22"/>
          <w:szCs w:val="22"/>
        </w:rPr>
        <w:t>Comet</w:t>
      </w:r>
      <w:r w:rsidR="001A720E">
        <w:rPr>
          <w:rFonts w:ascii="Times New Roman" w:hAnsi="Times New Roman" w:cs="Times New Roman"/>
          <w:sz w:val="22"/>
          <w:szCs w:val="22"/>
        </w:rPr>
        <w:t xml:space="preserve">™ Change Log for </w:t>
      </w:r>
      <w:r w:rsidR="00A2716C">
        <w:rPr>
          <w:rFonts w:ascii="Times New Roman" w:hAnsi="Times New Roman" w:cs="Times New Roman"/>
          <w:sz w:val="22"/>
          <w:szCs w:val="22"/>
        </w:rPr>
        <w:t>2006</w:t>
      </w:r>
    </w:p>
    <w:p w:rsidR="001A720E" w:rsidRDefault="001A720E">
      <w:pPr>
        <w:rPr>
          <w:bCs/>
        </w:rPr>
      </w:pPr>
    </w:p>
    <w:p w:rsidR="0018757A" w:rsidRDefault="001A720E">
      <w:pPr>
        <w:rPr>
          <w:bCs/>
        </w:rPr>
      </w:pPr>
      <w:r>
        <w:rPr>
          <w:bCs/>
        </w:rPr>
        <w:t xml:space="preserve">(Click for 2007: </w:t>
      </w:r>
      <w:hyperlink r:id="rId5" w:history="1">
        <w:r w:rsidR="00332292">
          <w:rPr>
            <w:rStyle w:val="Hyperlink"/>
            <w:bCs/>
          </w:rPr>
          <w:t>http://www.saturnsoftwareinc.com/CometSupportFiles/CometChangeLog2007.doc</w:t>
        </w:r>
      </w:hyperlink>
      <w:r>
        <w:rPr>
          <w:bCs/>
        </w:rPr>
        <w:t xml:space="preserve"> )</w:t>
      </w:r>
    </w:p>
    <w:p w:rsidR="001A720E" w:rsidRDefault="001A720E">
      <w:pPr>
        <w:rPr>
          <w:bCs/>
        </w:rPr>
      </w:pPr>
    </w:p>
    <w:p w:rsidR="00A77F27" w:rsidRDefault="00A77F27">
      <w:pPr>
        <w:rPr>
          <w:bCs/>
        </w:rPr>
      </w:pPr>
      <w:r>
        <w:rPr>
          <w:bCs/>
        </w:rPr>
        <w:t>2006-12-28</w:t>
      </w:r>
    </w:p>
    <w:p w:rsidR="00A77F27" w:rsidRDefault="00A77F27" w:rsidP="0018757A">
      <w:pPr>
        <w:numPr>
          <w:ilvl w:val="0"/>
          <w:numId w:val="54"/>
        </w:numPr>
        <w:rPr>
          <w:bCs/>
        </w:rPr>
      </w:pPr>
      <w:r>
        <w:rPr>
          <w:bCs/>
        </w:rPr>
        <w:t xml:space="preserve">Various improvements to Producer Reporting, Fulfillment, Servicing modules. </w:t>
      </w:r>
    </w:p>
    <w:p w:rsidR="00A77F27" w:rsidRDefault="00A77F27">
      <w:pPr>
        <w:rPr>
          <w:bCs/>
        </w:rPr>
      </w:pPr>
    </w:p>
    <w:p w:rsidR="00462301" w:rsidRDefault="00462301">
      <w:pPr>
        <w:rPr>
          <w:bCs/>
        </w:rPr>
      </w:pPr>
      <w:r>
        <w:rPr>
          <w:bCs/>
        </w:rPr>
        <w:t>2006-12-20</w:t>
      </w:r>
    </w:p>
    <w:p w:rsidR="00462301" w:rsidRDefault="00462301" w:rsidP="00462301">
      <w:pPr>
        <w:numPr>
          <w:ilvl w:val="0"/>
          <w:numId w:val="53"/>
        </w:numPr>
        <w:rPr>
          <w:bCs/>
        </w:rPr>
      </w:pPr>
      <w:r>
        <w:rPr>
          <w:bCs/>
        </w:rPr>
        <w:t xml:space="preserve">New report #250 “Uninvoiced Amounts by Title” shows titles that have been under-invoiced or over-invoiced. </w:t>
      </w:r>
    </w:p>
    <w:p w:rsidR="00462301" w:rsidRDefault="00462301">
      <w:pPr>
        <w:rPr>
          <w:bCs/>
        </w:rPr>
      </w:pPr>
    </w:p>
    <w:p w:rsidR="0028687E" w:rsidRDefault="0028687E">
      <w:pPr>
        <w:rPr>
          <w:bCs/>
        </w:rPr>
      </w:pPr>
      <w:r>
        <w:rPr>
          <w:bCs/>
        </w:rPr>
        <w:t>2006-12-18</w:t>
      </w:r>
    </w:p>
    <w:p w:rsidR="0028687E" w:rsidRDefault="0028687E" w:rsidP="0028687E">
      <w:pPr>
        <w:numPr>
          <w:ilvl w:val="0"/>
          <w:numId w:val="52"/>
        </w:numPr>
        <w:rPr>
          <w:bCs/>
        </w:rPr>
      </w:pPr>
      <w:r>
        <w:rPr>
          <w:bCs/>
        </w:rPr>
        <w:t>Improvements to the Budgeting module, including new “Actual” report</w:t>
      </w:r>
    </w:p>
    <w:p w:rsidR="0028687E" w:rsidRDefault="0028687E" w:rsidP="0028687E">
      <w:pPr>
        <w:numPr>
          <w:ilvl w:val="0"/>
          <w:numId w:val="52"/>
        </w:numPr>
        <w:rPr>
          <w:bCs/>
        </w:rPr>
      </w:pPr>
      <w:r>
        <w:rPr>
          <w:bCs/>
        </w:rPr>
        <w:t xml:space="preserve">Direct QuickBooks export format incorporated into menu. </w:t>
      </w:r>
    </w:p>
    <w:p w:rsidR="0028687E" w:rsidRDefault="0028687E">
      <w:pPr>
        <w:rPr>
          <w:bCs/>
        </w:rPr>
      </w:pPr>
    </w:p>
    <w:p w:rsidR="0028687E" w:rsidRDefault="0028687E">
      <w:pPr>
        <w:rPr>
          <w:bCs/>
        </w:rPr>
      </w:pPr>
    </w:p>
    <w:p w:rsidR="00FD03F5" w:rsidRDefault="00FD03F5">
      <w:pPr>
        <w:rPr>
          <w:bCs/>
        </w:rPr>
      </w:pPr>
      <w:r>
        <w:rPr>
          <w:bCs/>
        </w:rPr>
        <w:t>2006-</w:t>
      </w:r>
      <w:r w:rsidR="002328C1">
        <w:rPr>
          <w:bCs/>
        </w:rPr>
        <w:t>12-11</w:t>
      </w:r>
    </w:p>
    <w:p w:rsidR="00FD03F5" w:rsidRDefault="00FD03F5" w:rsidP="00FD03F5">
      <w:pPr>
        <w:numPr>
          <w:ilvl w:val="0"/>
          <w:numId w:val="51"/>
        </w:numPr>
        <w:rPr>
          <w:bCs/>
        </w:rPr>
      </w:pPr>
      <w:r>
        <w:rPr>
          <w:bCs/>
        </w:rPr>
        <w:t>Report 83, “Sales by Title by Year” updated to include contract dates from 2001-2007</w:t>
      </w:r>
    </w:p>
    <w:p w:rsidR="00B36D55" w:rsidRDefault="00B36D55" w:rsidP="00FD03F5">
      <w:pPr>
        <w:numPr>
          <w:ilvl w:val="0"/>
          <w:numId w:val="51"/>
        </w:numPr>
        <w:rPr>
          <w:bCs/>
        </w:rPr>
      </w:pPr>
      <w:r>
        <w:rPr>
          <w:bCs/>
        </w:rPr>
        <w:t>Comet servicing popup does not ask to output restrictions to notepad if the message will fit in the warning popup</w:t>
      </w:r>
      <w:r w:rsidR="002328C1">
        <w:rPr>
          <w:bCs/>
        </w:rPr>
        <w:t xml:space="preserve"> box.</w:t>
      </w:r>
    </w:p>
    <w:p w:rsidR="002328C1" w:rsidRDefault="002328C1" w:rsidP="00FD03F5">
      <w:pPr>
        <w:numPr>
          <w:ilvl w:val="0"/>
          <w:numId w:val="51"/>
        </w:numPr>
        <w:rPr>
          <w:bCs/>
        </w:rPr>
      </w:pPr>
      <w:r>
        <w:rPr>
          <w:bCs/>
        </w:rPr>
        <w:t xml:space="preserve">Producer </w:t>
      </w:r>
      <w:smartTag w:uri="urn:schemas-microsoft-com:office:smarttags" w:element="place">
        <w:smartTag w:uri="urn:schemas-microsoft-com:office:smarttags" w:element="City">
          <w:r>
            <w:rPr>
              <w:bCs/>
            </w:rPr>
            <w:t>Roy</w:t>
          </w:r>
        </w:smartTag>
      </w:smartTag>
      <w:r>
        <w:rPr>
          <w:bCs/>
        </w:rPr>
        <w:t>alty reporting improvements</w:t>
      </w:r>
    </w:p>
    <w:p w:rsidR="00FD03F5" w:rsidRDefault="00FD03F5">
      <w:pPr>
        <w:rPr>
          <w:bCs/>
        </w:rPr>
      </w:pPr>
    </w:p>
    <w:p w:rsidR="00FD03F5" w:rsidRDefault="00FD03F5">
      <w:pPr>
        <w:rPr>
          <w:bCs/>
        </w:rPr>
      </w:pPr>
    </w:p>
    <w:p w:rsidR="002D0970" w:rsidRDefault="002D0970">
      <w:pPr>
        <w:rPr>
          <w:bCs/>
        </w:rPr>
      </w:pPr>
      <w:r>
        <w:rPr>
          <w:bCs/>
        </w:rPr>
        <w:t>2006-11-17</w:t>
      </w:r>
    </w:p>
    <w:p w:rsidR="002D0970" w:rsidRDefault="00AA2A54" w:rsidP="00AA2A54">
      <w:pPr>
        <w:numPr>
          <w:ilvl w:val="0"/>
          <w:numId w:val="50"/>
        </w:numPr>
        <w:rPr>
          <w:bCs/>
        </w:rPr>
      </w:pPr>
      <w:r>
        <w:rPr>
          <w:bCs/>
        </w:rPr>
        <w:t>Producer Royalty Reporting improvements</w:t>
      </w:r>
    </w:p>
    <w:p w:rsidR="00AA2A54" w:rsidRDefault="00AA2A54" w:rsidP="00AA2A54">
      <w:pPr>
        <w:numPr>
          <w:ilvl w:val="0"/>
          <w:numId w:val="50"/>
        </w:numPr>
        <w:rPr>
          <w:bCs/>
        </w:rPr>
      </w:pPr>
      <w:r>
        <w:rPr>
          <w:bCs/>
        </w:rPr>
        <w:t>Incoming Royalty reporting auditing improvements</w:t>
      </w:r>
    </w:p>
    <w:p w:rsidR="00AA2A54" w:rsidRDefault="00AA2A54">
      <w:pPr>
        <w:rPr>
          <w:bCs/>
        </w:rPr>
      </w:pPr>
    </w:p>
    <w:p w:rsidR="002D0970" w:rsidRDefault="002D0970">
      <w:pPr>
        <w:rPr>
          <w:bCs/>
        </w:rPr>
      </w:pPr>
    </w:p>
    <w:p w:rsidR="00E74FA8" w:rsidRDefault="00E74FA8">
      <w:pPr>
        <w:rPr>
          <w:bCs/>
        </w:rPr>
      </w:pPr>
      <w:r>
        <w:rPr>
          <w:bCs/>
        </w:rPr>
        <w:t>2006-11-03</w:t>
      </w:r>
    </w:p>
    <w:p w:rsidR="00E74FA8" w:rsidRDefault="00E74FA8" w:rsidP="00E74FA8">
      <w:pPr>
        <w:numPr>
          <w:ilvl w:val="0"/>
          <w:numId w:val="49"/>
        </w:numPr>
        <w:rPr>
          <w:bCs/>
        </w:rPr>
      </w:pPr>
      <w:r>
        <w:rPr>
          <w:bCs/>
        </w:rPr>
        <w:t>Title list upgraded to include MCPS columns and other recent columns</w:t>
      </w:r>
    </w:p>
    <w:p w:rsidR="00E74FA8" w:rsidRDefault="00E74FA8" w:rsidP="00E74FA8">
      <w:pPr>
        <w:numPr>
          <w:ilvl w:val="0"/>
          <w:numId w:val="49"/>
        </w:numPr>
        <w:rPr>
          <w:bCs/>
        </w:rPr>
      </w:pPr>
      <w:r>
        <w:rPr>
          <w:bCs/>
        </w:rPr>
        <w:t>Reports #186 and #187, “</w:t>
      </w:r>
      <w:r w:rsidRPr="00E74FA8">
        <w:rPr>
          <w:bCs/>
        </w:rPr>
        <w:t>Itemized Invoice Aging Report</w:t>
      </w:r>
      <w:r>
        <w:rPr>
          <w:bCs/>
        </w:rPr>
        <w:t>” have checkbox to total by title instead of by customer</w:t>
      </w:r>
    </w:p>
    <w:p w:rsidR="00E74FA8" w:rsidRDefault="00E74FA8" w:rsidP="00E74FA8">
      <w:pPr>
        <w:numPr>
          <w:ilvl w:val="0"/>
          <w:numId w:val="49"/>
        </w:numPr>
        <w:rPr>
          <w:bCs/>
        </w:rPr>
      </w:pPr>
      <w:smartTag w:uri="urn:schemas-microsoft-com:office:smarttags" w:element="place">
        <w:smartTag w:uri="urn:schemas-microsoft-com:office:smarttags" w:element="City">
          <w:r>
            <w:rPr>
              <w:bCs/>
            </w:rPr>
            <w:t>Roy</w:t>
          </w:r>
        </w:smartTag>
      </w:smartTag>
      <w:r>
        <w:rPr>
          <w:bCs/>
        </w:rPr>
        <w:t>alty improvements</w:t>
      </w:r>
    </w:p>
    <w:p w:rsidR="00E74FA8" w:rsidRDefault="00E74FA8">
      <w:pPr>
        <w:rPr>
          <w:bCs/>
        </w:rPr>
      </w:pPr>
    </w:p>
    <w:p w:rsidR="0075437E" w:rsidRDefault="0075437E">
      <w:pPr>
        <w:rPr>
          <w:bCs/>
        </w:rPr>
      </w:pPr>
      <w:r>
        <w:rPr>
          <w:bCs/>
        </w:rPr>
        <w:t>2006-10-</w:t>
      </w:r>
      <w:r w:rsidR="00A022EC">
        <w:rPr>
          <w:bCs/>
        </w:rPr>
        <w:t>30</w:t>
      </w:r>
    </w:p>
    <w:p w:rsidR="0075437E" w:rsidRDefault="0075437E" w:rsidP="0075437E">
      <w:pPr>
        <w:numPr>
          <w:ilvl w:val="0"/>
          <w:numId w:val="48"/>
        </w:numPr>
        <w:rPr>
          <w:bCs/>
        </w:rPr>
      </w:pPr>
      <w:r>
        <w:rPr>
          <w:bCs/>
        </w:rPr>
        <w:t>Additional Report #248, “Contract Title Detail” improvements</w:t>
      </w:r>
    </w:p>
    <w:p w:rsidR="0075437E" w:rsidRDefault="0075437E">
      <w:pPr>
        <w:rPr>
          <w:bCs/>
        </w:rPr>
      </w:pPr>
    </w:p>
    <w:p w:rsidR="00086FC0" w:rsidRDefault="00086FC0">
      <w:pPr>
        <w:rPr>
          <w:bCs/>
        </w:rPr>
      </w:pPr>
      <w:r>
        <w:rPr>
          <w:bCs/>
        </w:rPr>
        <w:t>2006-10-20</w:t>
      </w:r>
    </w:p>
    <w:p w:rsidR="00086FC0" w:rsidRDefault="00086FC0" w:rsidP="00086FC0">
      <w:pPr>
        <w:numPr>
          <w:ilvl w:val="0"/>
          <w:numId w:val="47"/>
        </w:numPr>
        <w:rPr>
          <w:bCs/>
        </w:rPr>
      </w:pPr>
      <w:r>
        <w:rPr>
          <w:bCs/>
        </w:rPr>
        <w:t>Report #248, “Contract Title Detail” improvements</w:t>
      </w:r>
    </w:p>
    <w:p w:rsidR="00086FC0" w:rsidRDefault="00086FC0">
      <w:pPr>
        <w:rPr>
          <w:bCs/>
        </w:rPr>
      </w:pPr>
    </w:p>
    <w:p w:rsidR="00C66DF3" w:rsidRDefault="00494E3D">
      <w:pPr>
        <w:rPr>
          <w:bCs/>
        </w:rPr>
      </w:pPr>
      <w:r>
        <w:rPr>
          <w:bCs/>
        </w:rPr>
        <w:t>2006-10-17</w:t>
      </w:r>
    </w:p>
    <w:p w:rsidR="00C66DF3" w:rsidRDefault="00C66DF3">
      <w:pPr>
        <w:numPr>
          <w:ilvl w:val="0"/>
          <w:numId w:val="46"/>
        </w:numPr>
        <w:rPr>
          <w:bCs/>
        </w:rPr>
      </w:pPr>
      <w:r>
        <w:rPr>
          <w:bCs/>
        </w:rPr>
        <w:t xml:space="preserve">(Non-SQL version only) Problem fixed when reversing a materials invoice created by allocating a materials invoice to individual titles. </w:t>
      </w:r>
    </w:p>
    <w:p w:rsidR="00494E3D" w:rsidRDefault="00494E3D">
      <w:pPr>
        <w:numPr>
          <w:ilvl w:val="0"/>
          <w:numId w:val="46"/>
        </w:numPr>
        <w:rPr>
          <w:bCs/>
        </w:rPr>
      </w:pPr>
      <w:r>
        <w:rPr>
          <w:bCs/>
        </w:rPr>
        <w:lastRenderedPageBreak/>
        <w:t>Problem fixed showing restrictions in avail by title format 1 and conflict check</w:t>
      </w:r>
    </w:p>
    <w:p w:rsidR="00C66DF3" w:rsidRDefault="00C66DF3">
      <w:pPr>
        <w:rPr>
          <w:bCs/>
        </w:rPr>
      </w:pPr>
    </w:p>
    <w:p w:rsidR="00C66DF3" w:rsidRDefault="00C66DF3">
      <w:pPr>
        <w:rPr>
          <w:bCs/>
        </w:rPr>
      </w:pPr>
      <w:r>
        <w:rPr>
          <w:bCs/>
        </w:rPr>
        <w:t>2006-10-12</w:t>
      </w:r>
    </w:p>
    <w:p w:rsidR="00C66DF3" w:rsidRDefault="00C66DF3">
      <w:pPr>
        <w:numPr>
          <w:ilvl w:val="0"/>
          <w:numId w:val="45"/>
        </w:numPr>
        <w:rPr>
          <w:bCs/>
        </w:rPr>
      </w:pPr>
      <w:r>
        <w:rPr>
          <w:bCs/>
        </w:rPr>
        <w:t>More royalty report improvements</w:t>
      </w:r>
    </w:p>
    <w:p w:rsidR="00C66DF3" w:rsidRDefault="00C66DF3">
      <w:pPr>
        <w:numPr>
          <w:ilvl w:val="0"/>
          <w:numId w:val="45"/>
        </w:numPr>
        <w:rPr>
          <w:bCs/>
        </w:rPr>
      </w:pPr>
      <w:r>
        <w:rPr>
          <w:bCs/>
        </w:rPr>
        <w:t>Report #248, “Contract Title Detail”, has an option to show exclusivity and comments, and export to Excel with contract payment terms and payment history</w:t>
      </w:r>
    </w:p>
    <w:p w:rsidR="00C66DF3" w:rsidRDefault="00C66DF3">
      <w:pPr>
        <w:numPr>
          <w:ilvl w:val="0"/>
          <w:numId w:val="45"/>
        </w:numPr>
        <w:rPr>
          <w:bCs/>
        </w:rPr>
      </w:pPr>
      <w:r>
        <w:rPr>
          <w:bCs/>
        </w:rPr>
        <w:t xml:space="preserve">Availability report format 2 will not show linked individual episodes as available if also sold in series. </w:t>
      </w:r>
    </w:p>
    <w:p w:rsidR="00C66DF3" w:rsidRDefault="00C66DF3">
      <w:pPr>
        <w:rPr>
          <w:bCs/>
        </w:rPr>
      </w:pPr>
    </w:p>
    <w:p w:rsidR="00C66DF3" w:rsidRDefault="00C66DF3">
      <w:pPr>
        <w:rPr>
          <w:bCs/>
        </w:rPr>
      </w:pPr>
    </w:p>
    <w:p w:rsidR="00C66DF3" w:rsidRDefault="00C66DF3">
      <w:pPr>
        <w:rPr>
          <w:bCs/>
        </w:rPr>
      </w:pPr>
    </w:p>
    <w:p w:rsidR="00C66DF3" w:rsidRDefault="00C66DF3">
      <w:pPr>
        <w:rPr>
          <w:bCs/>
        </w:rPr>
      </w:pPr>
      <w:r>
        <w:rPr>
          <w:bCs/>
        </w:rPr>
        <w:t>2006-09-29</w:t>
      </w:r>
    </w:p>
    <w:p w:rsidR="00C66DF3" w:rsidRDefault="00C66DF3">
      <w:pPr>
        <w:numPr>
          <w:ilvl w:val="0"/>
          <w:numId w:val="45"/>
        </w:numPr>
        <w:rPr>
          <w:bCs/>
        </w:rPr>
      </w:pPr>
      <w:r>
        <w:rPr>
          <w:bCs/>
        </w:rPr>
        <w:t>Additional Royalty report improvements</w:t>
      </w:r>
    </w:p>
    <w:p w:rsidR="00C66DF3" w:rsidRDefault="00C66DF3">
      <w:pPr>
        <w:numPr>
          <w:ilvl w:val="0"/>
          <w:numId w:val="45"/>
        </w:numPr>
        <w:rPr>
          <w:bCs/>
        </w:rPr>
      </w:pPr>
      <w:r>
        <w:rPr>
          <w:bCs/>
        </w:rPr>
        <w:t>New report 248, “Contract Title Summary Report” shows information of all contract titles</w:t>
      </w:r>
    </w:p>
    <w:p w:rsidR="00C66DF3" w:rsidRDefault="00C66DF3">
      <w:pPr>
        <w:numPr>
          <w:ilvl w:val="0"/>
          <w:numId w:val="45"/>
        </w:numPr>
        <w:rPr>
          <w:bCs/>
        </w:rPr>
      </w:pPr>
      <w:r>
        <w:rPr>
          <w:bCs/>
        </w:rPr>
        <w:t xml:space="preserve">Fix to Conflict Check </w:t>
      </w:r>
    </w:p>
    <w:p w:rsidR="00C66DF3" w:rsidRDefault="00C66DF3">
      <w:pPr>
        <w:rPr>
          <w:bCs/>
        </w:rPr>
      </w:pPr>
    </w:p>
    <w:p w:rsidR="00C66DF3" w:rsidRDefault="00C66DF3">
      <w:pPr>
        <w:rPr>
          <w:bCs/>
        </w:rPr>
      </w:pPr>
      <w:r>
        <w:rPr>
          <w:bCs/>
        </w:rPr>
        <w:t>2006-09-27</w:t>
      </w:r>
    </w:p>
    <w:p w:rsidR="00C66DF3" w:rsidRDefault="00C66DF3">
      <w:pPr>
        <w:numPr>
          <w:ilvl w:val="0"/>
          <w:numId w:val="44"/>
        </w:numPr>
        <w:rPr>
          <w:bCs/>
        </w:rPr>
      </w:pPr>
      <w:r>
        <w:rPr>
          <w:bCs/>
        </w:rPr>
        <w:t>Improvements to MCPS report</w:t>
      </w:r>
    </w:p>
    <w:p w:rsidR="00C66DF3" w:rsidRDefault="00C66DF3">
      <w:pPr>
        <w:numPr>
          <w:ilvl w:val="0"/>
          <w:numId w:val="44"/>
        </w:numPr>
        <w:rPr>
          <w:bCs/>
        </w:rPr>
      </w:pPr>
      <w:r>
        <w:rPr>
          <w:bCs/>
        </w:rPr>
        <w:t>Improvements to unit sales screen and data import</w:t>
      </w:r>
    </w:p>
    <w:p w:rsidR="00C66DF3" w:rsidRDefault="00C66DF3">
      <w:pPr>
        <w:rPr>
          <w:bCs/>
        </w:rPr>
      </w:pPr>
    </w:p>
    <w:p w:rsidR="00C66DF3" w:rsidRDefault="00C66DF3">
      <w:pPr>
        <w:rPr>
          <w:bCs/>
        </w:rPr>
      </w:pPr>
    </w:p>
    <w:p w:rsidR="00C66DF3" w:rsidRDefault="00C66DF3">
      <w:pPr>
        <w:rPr>
          <w:bCs/>
        </w:rPr>
      </w:pPr>
      <w:r>
        <w:rPr>
          <w:bCs/>
        </w:rPr>
        <w:t xml:space="preserve">2006-09-21 </w:t>
      </w:r>
      <w:smartTag w:uri="urn:schemas-microsoft-com:office:smarttags" w:element="time">
        <w:smartTagPr>
          <w:attr w:name="Hour" w:val="14"/>
          <w:attr w:name="Minute" w:val="45"/>
        </w:smartTagPr>
        <w:r>
          <w:rPr>
            <w:bCs/>
          </w:rPr>
          <w:t>14:45</w:t>
        </w:r>
      </w:smartTag>
    </w:p>
    <w:p w:rsidR="00C66DF3" w:rsidRDefault="00C66DF3">
      <w:pPr>
        <w:numPr>
          <w:ilvl w:val="0"/>
          <w:numId w:val="43"/>
        </w:numPr>
        <w:rPr>
          <w:bCs/>
        </w:rPr>
      </w:pPr>
      <w:r>
        <w:rPr>
          <w:bCs/>
        </w:rPr>
        <w:t xml:space="preserve">Extensive improvements to the Producer Royalty Reporting module, to be documented </w:t>
      </w:r>
      <w:r w:rsidR="002A7E61">
        <w:rPr>
          <w:bCs/>
        </w:rPr>
        <w:t>elsewhere</w:t>
      </w:r>
    </w:p>
    <w:p w:rsidR="00C66DF3" w:rsidRDefault="00C66DF3">
      <w:pPr>
        <w:numPr>
          <w:ilvl w:val="0"/>
          <w:numId w:val="43"/>
        </w:numPr>
        <w:rPr>
          <w:bCs/>
        </w:rPr>
      </w:pPr>
      <w:r>
        <w:rPr>
          <w:bCs/>
        </w:rPr>
        <w:t>Extensive improvements to the video unit sales module, to be documented elsewhere</w:t>
      </w:r>
    </w:p>
    <w:p w:rsidR="00C66DF3" w:rsidRDefault="00C66DF3">
      <w:pPr>
        <w:numPr>
          <w:ilvl w:val="0"/>
          <w:numId w:val="43"/>
        </w:numPr>
        <w:rPr>
          <w:bCs/>
        </w:rPr>
      </w:pPr>
      <w:r>
        <w:rPr>
          <w:bCs/>
        </w:rPr>
        <w:t>Availability reports have an option to only include first run rights</w:t>
      </w:r>
    </w:p>
    <w:p w:rsidR="00C66DF3" w:rsidRDefault="00C66DF3">
      <w:pPr>
        <w:numPr>
          <w:ilvl w:val="0"/>
          <w:numId w:val="43"/>
        </w:numPr>
        <w:rPr>
          <w:bCs/>
        </w:rPr>
      </w:pPr>
      <w:r>
        <w:rPr>
          <w:bCs/>
        </w:rPr>
        <w:t>Availability reports have another option to show the status of owned rights only by ignoring all sold rights. The report format 1 will show “Owned” or “No Rights” or “Rights Expired”</w:t>
      </w:r>
    </w:p>
    <w:p w:rsidR="00C66DF3" w:rsidRDefault="00C66DF3">
      <w:pPr>
        <w:rPr>
          <w:b/>
          <w:u w:val="single"/>
        </w:rPr>
      </w:pPr>
    </w:p>
    <w:p w:rsidR="00C66DF3" w:rsidRDefault="00C66DF3">
      <w:pPr>
        <w:rPr>
          <w:b/>
          <w:u w:val="single"/>
        </w:rPr>
      </w:pPr>
      <w:r>
        <w:rPr>
          <w:b/>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5pt;height:178.65pt">
            <v:imagedata r:id="rId6" o:title=""/>
          </v:shape>
        </w:pict>
      </w:r>
    </w:p>
    <w:p w:rsidR="00C66DF3" w:rsidRDefault="00C66DF3">
      <w:pPr>
        <w:rPr>
          <w:b/>
          <w:u w:val="single"/>
        </w:rPr>
      </w:pPr>
    </w:p>
    <w:p w:rsidR="00C66DF3" w:rsidRDefault="00C66DF3">
      <w:pPr>
        <w:numPr>
          <w:ilvl w:val="0"/>
          <w:numId w:val="42"/>
        </w:numPr>
      </w:pPr>
      <w:r>
        <w:t xml:space="preserve">Comet allows all availability options on multi-territory multi-title layout. It is not necessary to be in “Client AVAIL/SOLD” only mode. </w:t>
      </w:r>
    </w:p>
    <w:p w:rsidR="00C66DF3" w:rsidRDefault="00C66DF3">
      <w:pPr>
        <w:numPr>
          <w:ilvl w:val="0"/>
          <w:numId w:val="42"/>
        </w:numPr>
      </w:pPr>
      <w:r>
        <w:pict>
          <v:shape id="_x0000_i1026" type="#_x0000_t75" style="width:224.85pt;height:127pt">
            <v:imagedata r:id="rId7" o:title=""/>
          </v:shape>
        </w:pict>
      </w:r>
    </w:p>
    <w:p w:rsidR="00C66DF3" w:rsidRDefault="00C66DF3">
      <w:pPr>
        <w:rPr>
          <w:b/>
          <w:u w:val="single"/>
        </w:rPr>
      </w:pPr>
    </w:p>
    <w:p w:rsidR="00C66DF3" w:rsidRDefault="00C66DF3">
      <w:pPr>
        <w:numPr>
          <w:ilvl w:val="0"/>
          <w:numId w:val="42"/>
        </w:numPr>
        <w:rPr>
          <w:rFonts w:ascii="Arial" w:hAnsi="Arial" w:cs="Arial"/>
          <w:sz w:val="20"/>
          <w:szCs w:val="20"/>
        </w:rPr>
      </w:pPr>
      <w:r>
        <w:rPr>
          <w:rFonts w:ascii="Arial" w:hAnsi="Arial" w:cs="Arial"/>
          <w:sz w:val="20"/>
          <w:szCs w:val="20"/>
        </w:rPr>
        <w:t xml:space="preserve">We have updated and improved our Long Form Word Merge template to include new </w:t>
      </w:r>
      <w:proofErr w:type="gramStart"/>
      <w:r>
        <w:rPr>
          <w:rFonts w:ascii="Arial" w:hAnsi="Arial" w:cs="Arial"/>
          <w:sz w:val="20"/>
          <w:szCs w:val="20"/>
        </w:rPr>
        <w:t>fields, and</w:t>
      </w:r>
      <w:proofErr w:type="gramEnd"/>
      <w:r>
        <w:rPr>
          <w:rFonts w:ascii="Arial" w:hAnsi="Arial" w:cs="Arial"/>
          <w:sz w:val="20"/>
          <w:szCs w:val="20"/>
        </w:rPr>
        <w:t xml:space="preserve"> have grouped the fields into functional areas.  It is located at</w:t>
      </w:r>
    </w:p>
    <w:p w:rsidR="00C66DF3" w:rsidRDefault="00C66DF3"/>
    <w:p w:rsidR="00C66DF3" w:rsidRDefault="00C66DF3">
      <w:pPr>
        <w:ind w:left="720"/>
      </w:pPr>
      <w:hyperlink r:id="rId8" w:history="1">
        <w:r>
          <w:rPr>
            <w:rStyle w:val="Hyperlink"/>
          </w:rPr>
          <w:t>http://www.saturnsoftwareinc.com/all_mailmerge_fields_a4_or_letter.doc</w:t>
        </w:r>
      </w:hyperlink>
    </w:p>
    <w:p w:rsidR="00C66DF3" w:rsidRDefault="00C66DF3">
      <w:pPr>
        <w:ind w:left="720"/>
      </w:pPr>
    </w:p>
    <w:p w:rsidR="00C66DF3" w:rsidRDefault="00C66DF3">
      <w:pPr>
        <w:ind w:left="720"/>
      </w:pPr>
      <w:r>
        <w:rPr>
          <w:rFonts w:ascii="Arial" w:hAnsi="Arial" w:cs="Arial"/>
          <w:sz w:val="20"/>
          <w:szCs w:val="20"/>
        </w:rPr>
        <w:t>Comet has a direct hyperlink to open this reference directly from the interface as shown below:</w:t>
      </w:r>
    </w:p>
    <w:p w:rsidR="00C66DF3" w:rsidRDefault="00C66DF3">
      <w:pPr>
        <w:ind w:left="720"/>
      </w:pPr>
      <w:r>
        <w:t> </w:t>
      </w:r>
    </w:p>
    <w:p w:rsidR="00C66DF3" w:rsidRDefault="00C66DF3">
      <w:pPr>
        <w:ind w:left="720"/>
        <w:rPr>
          <w:rFonts w:ascii="Arial" w:hAnsi="Arial" w:cs="Arial"/>
          <w:sz w:val="20"/>
          <w:szCs w:val="20"/>
        </w:rPr>
      </w:pPr>
      <w:r>
        <w:rPr>
          <w:rFonts w:ascii="Arial" w:hAnsi="Arial" w:cs="Arial"/>
          <w:sz w:val="20"/>
          <w:szCs w:val="20"/>
        </w:rPr>
        <w:t xml:space="preserve">This document may be added to the template list in Comet for testing purposes. </w:t>
      </w:r>
    </w:p>
    <w:p w:rsidR="00C66DF3" w:rsidRDefault="00C66DF3">
      <w:pPr>
        <w:ind w:left="720"/>
      </w:pPr>
      <w:r>
        <w:rPr>
          <w:rFonts w:ascii="Arial" w:hAnsi="Arial" w:cs="Arial"/>
          <w:sz w:val="20"/>
          <w:szCs w:val="20"/>
        </w:rPr>
        <w:t xml:space="preserve">A spacing problem was fixed with respect to the right margin on the rights sold table. </w:t>
      </w:r>
    </w:p>
    <w:p w:rsidR="00C66DF3" w:rsidRDefault="00C66DF3">
      <w:pPr>
        <w:ind w:left="720"/>
      </w:pPr>
      <w:r>
        <w:t> </w:t>
      </w:r>
    </w:p>
    <w:p w:rsidR="00C66DF3" w:rsidRDefault="00C66DF3">
      <w:pPr>
        <w:ind w:left="720"/>
      </w:pPr>
      <w:r>
        <w:pict>
          <v:shape id="_x0000_i1027" type="#_x0000_t75" style="width:6in;height:156.9pt">
            <v:imagedata r:id="rId9" o:title=""/>
          </v:shape>
        </w:pict>
      </w:r>
    </w:p>
    <w:p w:rsidR="00C66DF3" w:rsidRDefault="00C66DF3">
      <w:pPr>
        <w:ind w:left="720"/>
      </w:pPr>
      <w:r>
        <w:t> </w:t>
      </w:r>
    </w:p>
    <w:p w:rsidR="00C66DF3" w:rsidRDefault="00C66DF3">
      <w:pPr>
        <w:ind w:left="360"/>
        <w:rPr>
          <w:b/>
          <w:u w:val="single"/>
        </w:rPr>
      </w:pPr>
    </w:p>
    <w:p w:rsidR="00C66DF3" w:rsidRDefault="00C66DF3">
      <w:pPr>
        <w:rPr>
          <w:b/>
          <w:u w:val="single"/>
        </w:rPr>
      </w:pPr>
    </w:p>
    <w:p w:rsidR="00C66DF3" w:rsidRDefault="00C66DF3">
      <w:pPr>
        <w:rPr>
          <w:b/>
          <w:u w:val="single"/>
        </w:rPr>
      </w:pPr>
      <w:r>
        <w:rPr>
          <w:b/>
          <w:u w:val="single"/>
        </w:rPr>
        <w:t>2006-09-05</w:t>
      </w:r>
    </w:p>
    <w:p w:rsidR="00C66DF3" w:rsidRDefault="00C66DF3"/>
    <w:p w:rsidR="00C66DF3" w:rsidRDefault="00C66DF3">
      <w:pPr>
        <w:numPr>
          <w:ilvl w:val="0"/>
          <w:numId w:val="41"/>
        </w:numPr>
      </w:pPr>
      <w:r>
        <w:t xml:space="preserve">Full support for servicing invoices in any currency. </w:t>
      </w:r>
    </w:p>
    <w:p w:rsidR="00C66DF3" w:rsidRDefault="00C66DF3"/>
    <w:p w:rsidR="00C66DF3" w:rsidRDefault="00C66DF3">
      <w:r>
        <w:t xml:space="preserve">Company profile allows customer price list to be in any currency. </w:t>
      </w:r>
    </w:p>
    <w:p w:rsidR="00C66DF3" w:rsidRDefault="00C66DF3">
      <w:r>
        <w:pict>
          <v:shape id="_x0000_i1028" type="#_x0000_t75" style="width:431.3pt;height:135.15pt">
            <v:imagedata r:id="rId10" o:title=""/>
          </v:shape>
        </w:pict>
      </w:r>
    </w:p>
    <w:p w:rsidR="00C66DF3" w:rsidRDefault="00C66DF3"/>
    <w:p w:rsidR="00C66DF3" w:rsidRDefault="00C66DF3">
      <w:pPr>
        <w:numPr>
          <w:ilvl w:val="0"/>
          <w:numId w:val="41"/>
        </w:numPr>
      </w:pPr>
      <w:r>
        <w:t>Each contract can have a different servicing invoice country</w:t>
      </w:r>
    </w:p>
    <w:p w:rsidR="00C66DF3" w:rsidRDefault="00C66DF3">
      <w:pPr>
        <w:rPr>
          <w:b/>
          <w:u w:val="single"/>
        </w:rPr>
      </w:pPr>
      <w:r>
        <w:rPr>
          <w:b/>
          <w:u w:val="single"/>
        </w:rPr>
        <w:pict>
          <v:shape id="_x0000_i1029" type="#_x0000_t75" style="width:224.85pt;height:211.25pt">
            <v:imagedata r:id="rId11" o:title=""/>
          </v:shape>
        </w:pict>
      </w:r>
    </w:p>
    <w:p w:rsidR="00C66DF3" w:rsidRDefault="00C66DF3">
      <w:pPr>
        <w:rPr>
          <w:b/>
          <w:u w:val="single"/>
        </w:rPr>
      </w:pPr>
    </w:p>
    <w:p w:rsidR="00C66DF3" w:rsidRDefault="00C66DF3">
      <w:pPr>
        <w:numPr>
          <w:ilvl w:val="0"/>
          <w:numId w:val="41"/>
        </w:numPr>
        <w:rPr>
          <w:u w:val="single"/>
        </w:rPr>
      </w:pPr>
      <w:r>
        <w:rPr>
          <w:u w:val="single"/>
        </w:rPr>
        <w:t xml:space="preserve">Hourly recharge price overrides customer price list. </w:t>
      </w:r>
    </w:p>
    <w:p w:rsidR="00C66DF3" w:rsidRDefault="00C66DF3">
      <w:pPr>
        <w:rPr>
          <w:b/>
          <w:u w:val="single"/>
        </w:rPr>
      </w:pPr>
      <w:r>
        <w:rPr>
          <w:b/>
          <w:u w:val="single"/>
        </w:rPr>
        <w:pict>
          <v:shape id="_x0000_i1030" type="#_x0000_t75" style="width:431.3pt;height:201.75pt">
            <v:imagedata r:id="rId12" o:title=""/>
          </v:shape>
        </w:pict>
      </w:r>
    </w:p>
    <w:p w:rsidR="00C66DF3" w:rsidRDefault="00C66DF3">
      <w:pPr>
        <w:rPr>
          <w:b/>
          <w:u w:val="single"/>
        </w:rPr>
      </w:pPr>
    </w:p>
    <w:p w:rsidR="00C66DF3" w:rsidRDefault="00C66DF3">
      <w:pPr>
        <w:rPr>
          <w:b/>
          <w:u w:val="single"/>
        </w:rPr>
      </w:pPr>
    </w:p>
    <w:p w:rsidR="00C66DF3" w:rsidRDefault="00C66DF3">
      <w:pPr>
        <w:rPr>
          <w:b/>
          <w:u w:val="single"/>
        </w:rPr>
      </w:pPr>
      <w:r>
        <w:rPr>
          <w:b/>
          <w:u w:val="single"/>
        </w:rPr>
        <w:pict>
          <v:shape id="_x0000_i1031" type="#_x0000_t75" style="width:431.3pt;height:265.6pt">
            <v:imagedata r:id="rId13" o:title=""/>
          </v:shape>
        </w:pict>
      </w:r>
    </w:p>
    <w:p w:rsidR="00C66DF3" w:rsidRDefault="00C66DF3">
      <w:pPr>
        <w:rPr>
          <w:b/>
          <w:u w:val="single"/>
        </w:rPr>
      </w:pPr>
    </w:p>
    <w:p w:rsidR="00C66DF3" w:rsidRDefault="00C66DF3">
      <w:r>
        <w:t xml:space="preserve">Materials Invoice shows both base currency and servicing invoice currency amounts.  If there are different currencies in the same invoice, Comet will print them separately. </w:t>
      </w:r>
    </w:p>
    <w:p w:rsidR="00C66DF3" w:rsidRDefault="00C66DF3">
      <w:pPr>
        <w:rPr>
          <w:b/>
          <w:u w:val="single"/>
        </w:rPr>
      </w:pPr>
      <w:r>
        <w:rPr>
          <w:b/>
          <w:u w:val="single"/>
        </w:rPr>
        <w:pict>
          <v:shape id="_x0000_i1032" type="#_x0000_t75" style="width:431.3pt;height:222.8pt">
            <v:imagedata r:id="rId14" o:title=""/>
          </v:shape>
        </w:pict>
      </w:r>
    </w:p>
    <w:p w:rsidR="00C66DF3" w:rsidRDefault="00C66DF3">
      <w:pPr>
        <w:rPr>
          <w:b/>
          <w:u w:val="single"/>
        </w:rPr>
      </w:pPr>
    </w:p>
    <w:p w:rsidR="00C66DF3" w:rsidRDefault="00C66DF3">
      <w:pPr>
        <w:numPr>
          <w:ilvl w:val="0"/>
          <w:numId w:val="41"/>
        </w:numPr>
      </w:pPr>
      <w:r>
        <w:t>Dub order construction popup allows direct entry of either base currency amounts or invoice currency amounts</w:t>
      </w:r>
    </w:p>
    <w:p w:rsidR="00C66DF3" w:rsidRDefault="00C66DF3">
      <w:pPr>
        <w:rPr>
          <w:b/>
          <w:u w:val="single"/>
        </w:rPr>
      </w:pPr>
      <w:r>
        <w:rPr>
          <w:b/>
          <w:u w:val="single"/>
        </w:rPr>
        <w:pict>
          <v:shape id="_x0000_i1033" type="#_x0000_t75" style="width:6in;height:213.3pt">
            <v:imagedata r:id="rId15" o:title=""/>
          </v:shape>
        </w:pict>
      </w:r>
    </w:p>
    <w:p w:rsidR="00C66DF3" w:rsidRDefault="00C66DF3">
      <w:pPr>
        <w:rPr>
          <w:b/>
          <w:u w:val="single"/>
        </w:rPr>
      </w:pPr>
    </w:p>
    <w:p w:rsidR="00C66DF3" w:rsidRDefault="00C66DF3">
      <w:pPr>
        <w:rPr>
          <w:b/>
          <w:u w:val="single"/>
        </w:rPr>
      </w:pPr>
    </w:p>
    <w:p w:rsidR="00C66DF3" w:rsidRDefault="00C66DF3">
      <w:pPr>
        <w:numPr>
          <w:ilvl w:val="0"/>
          <w:numId w:val="41"/>
        </w:numPr>
      </w:pPr>
      <w:r>
        <w:t xml:space="preserve">Creating an invoice from the servicing screen allows entry of any currency at any </w:t>
      </w:r>
      <w:proofErr w:type="gramStart"/>
      <w:r>
        <w:t>rate, but</w:t>
      </w:r>
      <w:proofErr w:type="gramEnd"/>
      <w:r>
        <w:t xml:space="preserve"> will default to the contract servicing invoice currency and current rate. </w:t>
      </w:r>
    </w:p>
    <w:p w:rsidR="00C66DF3" w:rsidRDefault="00C66DF3">
      <w:pPr>
        <w:rPr>
          <w:b/>
          <w:u w:val="single"/>
        </w:rPr>
      </w:pPr>
    </w:p>
    <w:p w:rsidR="00C66DF3" w:rsidRDefault="00C66DF3">
      <w:pPr>
        <w:rPr>
          <w:b/>
          <w:u w:val="single"/>
        </w:rPr>
      </w:pPr>
      <w:r>
        <w:rPr>
          <w:b/>
          <w:u w:val="single"/>
        </w:rPr>
        <w:pict>
          <v:shape id="_x0000_i1034" type="#_x0000_t75" style="width:375.6pt;height:250.65pt">
            <v:imagedata r:id="rId16" o:title=""/>
          </v:shape>
        </w:pict>
      </w:r>
    </w:p>
    <w:p w:rsidR="00C66DF3" w:rsidRDefault="00C66DF3">
      <w:pPr>
        <w:rPr>
          <w:b/>
          <w:u w:val="single"/>
        </w:rPr>
      </w:pPr>
    </w:p>
    <w:p w:rsidR="00C66DF3" w:rsidRDefault="00C66DF3">
      <w:pPr>
        <w:rPr>
          <w:b/>
          <w:u w:val="single"/>
        </w:rPr>
      </w:pPr>
      <w:r>
        <w:rPr>
          <w:b/>
          <w:u w:val="single"/>
        </w:rPr>
        <w:t>2006-09-01</w:t>
      </w:r>
    </w:p>
    <w:p w:rsidR="00C66DF3" w:rsidRDefault="00C66DF3">
      <w:pPr>
        <w:pStyle w:val="Heading8"/>
        <w:numPr>
          <w:ilvl w:val="0"/>
          <w:numId w:val="40"/>
        </w:numPr>
        <w:rPr>
          <w:b w:val="0"/>
          <w:bCs/>
        </w:rPr>
      </w:pPr>
      <w:r>
        <w:rPr>
          <w:b w:val="0"/>
          <w:bCs/>
        </w:rPr>
        <w:t>Other changes to be documented soon</w:t>
      </w:r>
    </w:p>
    <w:p w:rsidR="00C66DF3" w:rsidRDefault="00C66DF3">
      <w:pPr>
        <w:numPr>
          <w:ilvl w:val="0"/>
          <w:numId w:val="39"/>
        </w:numPr>
        <w:jc w:val="both"/>
      </w:pPr>
      <w:r>
        <w:t>Manual entry of partial revenue recognition now available, with new filter option and partial revenue % column. Entry available in “Notices and Delivery” screen.</w:t>
      </w:r>
    </w:p>
    <w:p w:rsidR="00C66DF3" w:rsidRDefault="00C66DF3">
      <w:pPr>
        <w:rPr>
          <w:b/>
          <w:u w:val="single"/>
        </w:rPr>
      </w:pPr>
    </w:p>
    <w:p w:rsidR="00C66DF3" w:rsidRDefault="00C66DF3">
      <w:pPr>
        <w:rPr>
          <w:b/>
          <w:u w:val="single"/>
        </w:rPr>
      </w:pPr>
      <w:r>
        <w:rPr>
          <w:b/>
          <w:u w:val="single"/>
        </w:rPr>
        <w:pict>
          <v:shape id="_x0000_i1035" type="#_x0000_t75" style="width:431.3pt;height:254.05pt">
            <v:imagedata r:id="rId17" o:title=""/>
          </v:shape>
        </w:pict>
      </w:r>
    </w:p>
    <w:p w:rsidR="00C66DF3" w:rsidRDefault="00C66DF3">
      <w:pPr>
        <w:rPr>
          <w:b/>
          <w:u w:val="single"/>
        </w:rPr>
      </w:pPr>
    </w:p>
    <w:p w:rsidR="00C66DF3" w:rsidRDefault="00C66DF3">
      <w:pPr>
        <w:rPr>
          <w:b/>
          <w:u w:val="single"/>
        </w:rPr>
      </w:pPr>
      <w:r>
        <w:rPr>
          <w:b/>
          <w:u w:val="single"/>
        </w:rPr>
        <w:t>2006-08-11</w:t>
      </w:r>
    </w:p>
    <w:p w:rsidR="00C66DF3" w:rsidRDefault="00C66DF3">
      <w:r>
        <w:t>Comet system filtering for Agent value has 2 new options on the top of the list</w:t>
      </w:r>
    </w:p>
    <w:p w:rsidR="00C66DF3" w:rsidRDefault="00C66DF3">
      <w:pPr>
        <w:numPr>
          <w:ilvl w:val="0"/>
          <w:numId w:val="38"/>
        </w:numPr>
      </w:pPr>
      <w:r>
        <w:t>(Blank), filtering the contracts to all contracts with no Agent entered</w:t>
      </w:r>
    </w:p>
    <w:p w:rsidR="00C66DF3" w:rsidRDefault="00C66DF3">
      <w:pPr>
        <w:numPr>
          <w:ilvl w:val="0"/>
          <w:numId w:val="38"/>
        </w:numPr>
      </w:pPr>
      <w:r>
        <w:t>(NonBlank) showing all contracts with any agent</w:t>
      </w:r>
    </w:p>
    <w:p w:rsidR="00C66DF3" w:rsidRDefault="00C66DF3">
      <w:pPr>
        <w:rPr>
          <w:b/>
          <w:u w:val="single"/>
        </w:rPr>
      </w:pPr>
      <w:r>
        <w:rPr>
          <w:b/>
          <w:u w:val="single"/>
        </w:rPr>
        <w:pict>
          <v:shape id="_x0000_i1036" type="#_x0000_t75" style="width:398.05pt;height:102.55pt">
            <v:imagedata r:id="rId18" o:title=""/>
          </v:shape>
        </w:pict>
      </w:r>
    </w:p>
    <w:p w:rsidR="00C66DF3" w:rsidRDefault="00C66DF3">
      <w:pPr>
        <w:rPr>
          <w:b/>
          <w:u w:val="single"/>
        </w:rPr>
      </w:pPr>
    </w:p>
    <w:p w:rsidR="00C66DF3" w:rsidRDefault="00C66DF3">
      <w:pPr>
        <w:rPr>
          <w:b/>
          <w:u w:val="single"/>
        </w:rPr>
      </w:pPr>
    </w:p>
    <w:p w:rsidR="00C66DF3" w:rsidRDefault="00C66DF3">
      <w:pPr>
        <w:rPr>
          <w:bCs/>
          <w:color w:val="000000"/>
        </w:rPr>
      </w:pPr>
      <w:r>
        <w:rPr>
          <w:bCs/>
          <w:color w:val="000000"/>
        </w:rPr>
        <w:t xml:space="preserve">The Comet long form deal memo has a new table format, which is the same as </w:t>
      </w:r>
      <w:r>
        <w:rPr>
          <w:rFonts w:ascii="Arial" w:hAnsi="Arial"/>
          <w:bCs/>
          <w:color w:val="000000"/>
          <w:sz w:val="20"/>
        </w:rPr>
        <w:t xml:space="preserve">&lt;&lt;Lic. Per. Tbl.&gt;&gt; except the release trigger column is replaced by Exclusivity. </w:t>
      </w:r>
    </w:p>
    <w:p w:rsidR="00C66DF3" w:rsidRDefault="00C66DF3">
      <w:pPr>
        <w:adjustRightInd w:val="0"/>
        <w:rPr>
          <w:rFonts w:ascii="Arial Unicode MS" w:eastAsia="Arial Unicode MS" w:hAnsi="Arial Unicode MS" w:cs="Arial Unicode MS"/>
        </w:rPr>
      </w:pPr>
      <w:r>
        <w:rPr>
          <w:rFonts w:ascii="Arial" w:hAnsi="Arial"/>
          <w:b/>
          <w:color w:val="0000FF"/>
          <w:sz w:val="20"/>
        </w:rPr>
        <w:t>&lt;&lt;Lic. Per. Tbl.2&gt;&gt;</w:t>
      </w:r>
    </w:p>
    <w:p w:rsidR="00C66DF3" w:rsidRDefault="00C66DF3">
      <w:pPr>
        <w:adjustRightInd w:val="0"/>
        <w:rPr>
          <w:rFonts w:ascii="Arial" w:hAnsi="Arial"/>
          <w:color w:val="000000"/>
          <w:sz w:val="20"/>
        </w:rPr>
      </w:pPr>
      <w:r>
        <w:rPr>
          <w:rFonts w:ascii="Arial" w:hAnsi="Arial"/>
          <w:color w:val="000000"/>
          <w:sz w:val="20"/>
        </w:rPr>
        <w:t> </w:t>
      </w:r>
    </w:p>
    <w:tbl>
      <w:tblPr>
        <w:tblW w:w="0" w:type="auto"/>
        <w:tblInd w:w="-115"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2160"/>
        <w:gridCol w:w="2400"/>
        <w:gridCol w:w="2400"/>
        <w:gridCol w:w="2160"/>
      </w:tblGrid>
      <w:tr w:rsidR="00C66DF3">
        <w:tc>
          <w:tcPr>
            <w:tcW w:w="2160" w:type="dxa"/>
            <w:tcBorders>
              <w:top w:val="single" w:sz="4" w:space="0" w:color="auto"/>
              <w:left w:val="single" w:sz="4" w:space="0" w:color="auto"/>
              <w:bottom w:val="single" w:sz="4" w:space="0" w:color="auto"/>
              <w:right w:val="single" w:sz="4" w:space="0" w:color="auto"/>
            </w:tcBorders>
            <w:shd w:val="pct10" w:color="auto" w:fill="FFFFFF"/>
          </w:tcPr>
          <w:p w:rsidR="00C66DF3" w:rsidRDefault="00C66DF3">
            <w:pPr>
              <w:tabs>
                <w:tab w:val="left" w:pos="450"/>
                <w:tab w:val="left" w:pos="3600"/>
                <w:tab w:val="left" w:pos="4320"/>
                <w:tab w:val="left" w:pos="5040"/>
                <w:tab w:val="left" w:pos="5760"/>
                <w:tab w:val="left" w:pos="6480"/>
                <w:tab w:val="left" w:pos="7200"/>
                <w:tab w:val="left" w:pos="7920"/>
                <w:tab w:val="left" w:pos="8640"/>
                <w:tab w:val="left" w:pos="9360"/>
              </w:tabs>
              <w:spacing w:before="60" w:after="60" w:line="220" w:lineRule="exact"/>
              <w:ind w:left="-480" w:firstLine="480"/>
              <w:jc w:val="center"/>
              <w:rPr>
                <w:rFonts w:ascii="Arial" w:eastAsia="Arial Unicode MS" w:hAnsi="Arial"/>
                <w:b/>
                <w:sz w:val="20"/>
              </w:rPr>
            </w:pPr>
            <w:r>
              <w:rPr>
                <w:rFonts w:ascii="Arial" w:hAnsi="Arial"/>
                <w:b/>
                <w:sz w:val="20"/>
              </w:rPr>
              <w:t>Licensed Rights</w:t>
            </w:r>
          </w:p>
        </w:tc>
        <w:tc>
          <w:tcPr>
            <w:tcW w:w="2400" w:type="dxa"/>
            <w:tcBorders>
              <w:top w:val="single" w:sz="4" w:space="0" w:color="auto"/>
              <w:left w:val="single" w:sz="4" w:space="0" w:color="auto"/>
              <w:bottom w:val="single" w:sz="4" w:space="0" w:color="auto"/>
              <w:right w:val="single" w:sz="4" w:space="0" w:color="auto"/>
            </w:tcBorders>
            <w:shd w:val="pct10" w:color="auto" w:fill="FFFFFF"/>
          </w:tcPr>
          <w:p w:rsidR="00C66DF3" w:rsidRDefault="00C66DF3">
            <w:pPr>
              <w:pStyle w:val="Heading2"/>
              <w:spacing w:before="60" w:after="60"/>
              <w:rPr>
                <w:rFonts w:eastAsia="Arial Unicode MS"/>
              </w:rPr>
            </w:pPr>
            <w:r>
              <w:rPr>
                <w:sz w:val="20"/>
                <w:szCs w:val="20"/>
              </w:rPr>
              <w:t>License Period</w:t>
            </w:r>
          </w:p>
        </w:tc>
        <w:tc>
          <w:tcPr>
            <w:tcW w:w="2400" w:type="dxa"/>
            <w:tcBorders>
              <w:top w:val="single" w:sz="4" w:space="0" w:color="auto"/>
              <w:left w:val="single" w:sz="4" w:space="0" w:color="auto"/>
              <w:bottom w:val="single" w:sz="4" w:space="0" w:color="auto"/>
              <w:right w:val="single" w:sz="4" w:space="0" w:color="auto"/>
            </w:tcBorders>
            <w:shd w:val="pct10" w:color="auto" w:fill="FFFFFF"/>
          </w:tcPr>
          <w:p w:rsidR="00C66DF3" w:rsidRDefault="00C66DF3">
            <w:pPr>
              <w:tabs>
                <w:tab w:val="left" w:pos="450"/>
                <w:tab w:val="left" w:pos="3600"/>
                <w:tab w:val="left" w:pos="4320"/>
                <w:tab w:val="left" w:pos="5040"/>
                <w:tab w:val="left" w:pos="5760"/>
                <w:tab w:val="left" w:pos="6480"/>
                <w:tab w:val="left" w:pos="7200"/>
                <w:tab w:val="left" w:pos="7920"/>
                <w:tab w:val="left" w:pos="8640"/>
                <w:tab w:val="left" w:pos="9360"/>
              </w:tabs>
              <w:spacing w:before="60" w:after="60" w:line="220" w:lineRule="exact"/>
              <w:jc w:val="center"/>
              <w:rPr>
                <w:rFonts w:ascii="Arial" w:eastAsia="Arial Unicode MS" w:hAnsi="Arial"/>
                <w:b/>
                <w:sz w:val="20"/>
              </w:rPr>
            </w:pPr>
            <w:r>
              <w:rPr>
                <w:rFonts w:ascii="Arial" w:hAnsi="Arial"/>
                <w:b/>
                <w:sz w:val="20"/>
              </w:rPr>
              <w:t>Exclusivity</w:t>
            </w:r>
          </w:p>
        </w:tc>
        <w:tc>
          <w:tcPr>
            <w:tcW w:w="2160" w:type="dxa"/>
            <w:tcBorders>
              <w:top w:val="single" w:sz="4" w:space="0" w:color="auto"/>
              <w:left w:val="single" w:sz="4" w:space="0" w:color="auto"/>
              <w:bottom w:val="single" w:sz="4" w:space="0" w:color="auto"/>
              <w:right w:val="single" w:sz="4" w:space="0" w:color="auto"/>
            </w:tcBorders>
            <w:shd w:val="pct10" w:color="auto" w:fill="FFFFFF"/>
          </w:tcPr>
          <w:p w:rsidR="00C66DF3" w:rsidRDefault="00C66DF3">
            <w:pPr>
              <w:pStyle w:val="Heading1"/>
              <w:spacing w:before="60" w:after="60"/>
              <w:ind w:right="570"/>
              <w:rPr>
                <w:rFonts w:eastAsia="Arial Unicode MS"/>
              </w:rPr>
            </w:pPr>
            <w:r>
              <w:t>Exclusions</w:t>
            </w:r>
          </w:p>
        </w:tc>
      </w:tr>
      <w:tr w:rsidR="00C66DF3">
        <w:tc>
          <w:tcPr>
            <w:tcW w:w="2160" w:type="dxa"/>
            <w:tcBorders>
              <w:top w:val="nil"/>
              <w:left w:val="single" w:sz="4" w:space="0" w:color="auto"/>
              <w:bottom w:val="nil"/>
              <w:right w:val="single" w:sz="2" w:space="0" w:color="auto"/>
            </w:tcBorders>
          </w:tcPr>
          <w:p w:rsidR="00C66DF3" w:rsidRDefault="00C66DF3">
            <w:pPr>
              <w:tabs>
                <w:tab w:val="left" w:pos="450"/>
                <w:tab w:val="left" w:pos="3600"/>
                <w:tab w:val="left" w:pos="4320"/>
                <w:tab w:val="left" w:pos="5040"/>
                <w:tab w:val="left" w:pos="5760"/>
                <w:tab w:val="left" w:pos="6480"/>
                <w:tab w:val="left" w:pos="7200"/>
                <w:tab w:val="left" w:pos="7920"/>
                <w:tab w:val="left" w:pos="8640"/>
                <w:tab w:val="left" w:pos="9360"/>
              </w:tabs>
              <w:spacing w:line="240" w:lineRule="exact"/>
              <w:jc w:val="center"/>
              <w:rPr>
                <w:rFonts w:ascii="Arial Unicode MS" w:eastAsia="Arial Unicode MS" w:hAnsi="Arial Unicode MS" w:cs="Arial Unicode MS"/>
              </w:rPr>
            </w:pPr>
            <w:r>
              <w:rPr>
                <w:rFonts w:ascii="Arial" w:hAnsi="Arial"/>
                <w:sz w:val="18"/>
              </w:rPr>
              <w:t>Pay TV Rights</w:t>
            </w:r>
          </w:p>
        </w:tc>
        <w:tc>
          <w:tcPr>
            <w:tcW w:w="2400" w:type="dxa"/>
            <w:tcBorders>
              <w:top w:val="nil"/>
              <w:left w:val="single" w:sz="2" w:space="0" w:color="auto"/>
              <w:bottom w:val="nil"/>
              <w:right w:val="single" w:sz="2" w:space="0" w:color="auto"/>
            </w:tcBorders>
          </w:tcPr>
          <w:p w:rsidR="00C66DF3" w:rsidRDefault="00C66DF3">
            <w:pPr>
              <w:tabs>
                <w:tab w:val="left" w:pos="450"/>
                <w:tab w:val="left" w:pos="3600"/>
                <w:tab w:val="left" w:pos="4320"/>
                <w:tab w:val="left" w:pos="5040"/>
                <w:tab w:val="left" w:pos="5760"/>
                <w:tab w:val="left" w:pos="6480"/>
                <w:tab w:val="left" w:pos="7200"/>
                <w:tab w:val="left" w:pos="7920"/>
                <w:tab w:val="left" w:pos="8640"/>
                <w:tab w:val="left" w:pos="9360"/>
              </w:tabs>
              <w:spacing w:line="240" w:lineRule="exact"/>
              <w:jc w:val="center"/>
              <w:rPr>
                <w:rFonts w:ascii="Arial" w:eastAsia="Arial Unicode MS" w:hAnsi="Arial"/>
                <w:sz w:val="18"/>
              </w:rPr>
            </w:pPr>
            <w:r>
              <w:rPr>
                <w:rFonts w:ascii="Arial" w:hAnsi="Arial"/>
                <w:sz w:val="18"/>
              </w:rPr>
              <w:t xml:space="preserve">The License Term starts </w:t>
            </w:r>
            <w:smartTag w:uri="urn:schemas-microsoft-com:office:smarttags" w:element="date">
              <w:smartTagPr>
                <w:attr w:name="Month" w:val="12"/>
                <w:attr w:name="Day" w:val="15"/>
                <w:attr w:name="Year" w:val="2004"/>
              </w:smartTagPr>
              <w:r>
                <w:rPr>
                  <w:rFonts w:ascii="Arial" w:hAnsi="Arial"/>
                  <w:sz w:val="18"/>
                </w:rPr>
                <w:t>15-December-2004</w:t>
              </w:r>
            </w:smartTag>
            <w:r>
              <w:rPr>
                <w:rFonts w:ascii="Arial" w:hAnsi="Arial"/>
                <w:sz w:val="18"/>
              </w:rPr>
              <w:t xml:space="preserve"> and ends </w:t>
            </w:r>
            <w:smartTag w:uri="urn:schemas-microsoft-com:office:smarttags" w:element="date">
              <w:smartTagPr>
                <w:attr w:name="Month" w:val="12"/>
                <w:attr w:name="Day" w:val="13"/>
                <w:attr w:name="Year" w:val="2007"/>
              </w:smartTagPr>
              <w:r>
                <w:rPr>
                  <w:rFonts w:ascii="Arial" w:hAnsi="Arial"/>
                  <w:sz w:val="18"/>
                </w:rPr>
                <w:t>13-December-2007</w:t>
              </w:r>
            </w:smartTag>
          </w:p>
        </w:tc>
        <w:tc>
          <w:tcPr>
            <w:tcW w:w="2400" w:type="dxa"/>
            <w:tcBorders>
              <w:top w:val="nil"/>
              <w:left w:val="single" w:sz="2" w:space="0" w:color="auto"/>
              <w:bottom w:val="nil"/>
              <w:right w:val="single" w:sz="2" w:space="0" w:color="auto"/>
            </w:tcBorders>
          </w:tcPr>
          <w:p w:rsidR="00C66DF3" w:rsidRDefault="00C66DF3">
            <w:pPr>
              <w:tabs>
                <w:tab w:val="left" w:pos="450"/>
                <w:tab w:val="left" w:pos="3600"/>
                <w:tab w:val="left" w:pos="4320"/>
                <w:tab w:val="left" w:pos="5040"/>
                <w:tab w:val="left" w:pos="5760"/>
                <w:tab w:val="left" w:pos="6480"/>
                <w:tab w:val="left" w:pos="7200"/>
                <w:tab w:val="left" w:pos="7920"/>
                <w:tab w:val="left" w:pos="8640"/>
                <w:tab w:val="left" w:pos="9360"/>
              </w:tabs>
              <w:spacing w:line="240" w:lineRule="exact"/>
              <w:jc w:val="center"/>
              <w:rPr>
                <w:rFonts w:ascii="Arial" w:eastAsia="Arial Unicode MS" w:hAnsi="Arial"/>
                <w:sz w:val="18"/>
              </w:rPr>
            </w:pPr>
            <w:r>
              <w:rPr>
                <w:rFonts w:ascii="Arial" w:hAnsi="Arial"/>
                <w:sz w:val="18"/>
              </w:rPr>
              <w:t>Exclusive</w:t>
            </w:r>
          </w:p>
        </w:tc>
        <w:tc>
          <w:tcPr>
            <w:tcW w:w="2160" w:type="dxa"/>
            <w:tcBorders>
              <w:top w:val="nil"/>
              <w:left w:val="single" w:sz="2" w:space="0" w:color="auto"/>
              <w:bottom w:val="nil"/>
              <w:right w:val="single" w:sz="4" w:space="0" w:color="auto"/>
            </w:tcBorders>
          </w:tcPr>
          <w:p w:rsidR="00C66DF3" w:rsidRDefault="00C66DF3">
            <w:pPr>
              <w:tabs>
                <w:tab w:val="left" w:pos="450"/>
                <w:tab w:val="left" w:pos="2160"/>
                <w:tab w:val="left" w:pos="3600"/>
                <w:tab w:val="left" w:pos="4320"/>
                <w:tab w:val="left" w:pos="5040"/>
                <w:tab w:val="left" w:pos="5760"/>
                <w:tab w:val="left" w:pos="6480"/>
                <w:tab w:val="left" w:pos="7200"/>
                <w:tab w:val="left" w:pos="7920"/>
                <w:tab w:val="left" w:pos="8640"/>
                <w:tab w:val="left" w:pos="9360"/>
              </w:tabs>
              <w:spacing w:line="240" w:lineRule="exact"/>
              <w:ind w:right="570"/>
              <w:jc w:val="center"/>
              <w:rPr>
                <w:rFonts w:ascii="Arial" w:eastAsia="Arial Unicode MS" w:hAnsi="Arial"/>
                <w:sz w:val="18"/>
              </w:rPr>
            </w:pPr>
            <w:r>
              <w:t> </w:t>
            </w:r>
          </w:p>
        </w:tc>
      </w:tr>
      <w:tr w:rsidR="00C66DF3">
        <w:tc>
          <w:tcPr>
            <w:tcW w:w="2160" w:type="dxa"/>
            <w:tcBorders>
              <w:top w:val="nil"/>
              <w:left w:val="single" w:sz="4" w:space="0" w:color="auto"/>
              <w:bottom w:val="nil"/>
              <w:right w:val="single" w:sz="2" w:space="0" w:color="auto"/>
            </w:tcBorders>
          </w:tcPr>
          <w:p w:rsidR="00C66DF3" w:rsidRDefault="00C66DF3">
            <w:pPr>
              <w:tabs>
                <w:tab w:val="left" w:pos="450"/>
                <w:tab w:val="left" w:pos="3600"/>
                <w:tab w:val="left" w:pos="4320"/>
                <w:tab w:val="left" w:pos="5040"/>
                <w:tab w:val="left" w:pos="5760"/>
                <w:tab w:val="left" w:pos="6480"/>
                <w:tab w:val="left" w:pos="7200"/>
                <w:tab w:val="left" w:pos="7920"/>
                <w:tab w:val="left" w:pos="8640"/>
                <w:tab w:val="left" w:pos="9360"/>
              </w:tabs>
              <w:spacing w:line="240" w:lineRule="exact"/>
              <w:jc w:val="center"/>
              <w:rPr>
                <w:rFonts w:ascii="Arial Unicode MS" w:eastAsia="Arial Unicode MS" w:hAnsi="Arial Unicode MS" w:cs="Arial Unicode MS"/>
              </w:rPr>
            </w:pPr>
            <w:r>
              <w:rPr>
                <w:rFonts w:ascii="Arial" w:hAnsi="Arial"/>
                <w:sz w:val="18"/>
              </w:rPr>
              <w:t xml:space="preserve">Free TV Rights </w:t>
            </w:r>
          </w:p>
        </w:tc>
        <w:tc>
          <w:tcPr>
            <w:tcW w:w="2400" w:type="dxa"/>
            <w:tcBorders>
              <w:top w:val="nil"/>
              <w:left w:val="single" w:sz="2" w:space="0" w:color="auto"/>
              <w:bottom w:val="nil"/>
              <w:right w:val="single" w:sz="2" w:space="0" w:color="auto"/>
            </w:tcBorders>
          </w:tcPr>
          <w:p w:rsidR="00C66DF3" w:rsidRDefault="00C66DF3">
            <w:pPr>
              <w:tabs>
                <w:tab w:val="left" w:pos="450"/>
                <w:tab w:val="left" w:pos="3600"/>
                <w:tab w:val="left" w:pos="4320"/>
                <w:tab w:val="left" w:pos="5040"/>
                <w:tab w:val="left" w:pos="5760"/>
                <w:tab w:val="left" w:pos="6480"/>
                <w:tab w:val="left" w:pos="7200"/>
                <w:tab w:val="left" w:pos="7920"/>
                <w:tab w:val="left" w:pos="8640"/>
                <w:tab w:val="left" w:pos="9360"/>
              </w:tabs>
              <w:spacing w:line="240" w:lineRule="exact"/>
              <w:jc w:val="center"/>
              <w:rPr>
                <w:rFonts w:ascii="Arial" w:eastAsia="Arial Unicode MS" w:hAnsi="Arial"/>
                <w:sz w:val="18"/>
              </w:rPr>
            </w:pPr>
            <w:r>
              <w:rPr>
                <w:rFonts w:ascii="Arial" w:hAnsi="Arial"/>
                <w:sz w:val="18"/>
              </w:rPr>
              <w:t xml:space="preserve">The License Term starts </w:t>
            </w:r>
            <w:smartTag w:uri="urn:schemas-microsoft-com:office:smarttags" w:element="date">
              <w:smartTagPr>
                <w:attr w:name="Month" w:val="12"/>
                <w:attr w:name="Day" w:val="15"/>
                <w:attr w:name="Year" w:val="2004"/>
              </w:smartTagPr>
              <w:r>
                <w:rPr>
                  <w:rFonts w:ascii="Arial" w:hAnsi="Arial"/>
                  <w:sz w:val="18"/>
                </w:rPr>
                <w:t>15-December-2004</w:t>
              </w:r>
            </w:smartTag>
            <w:r>
              <w:rPr>
                <w:rFonts w:ascii="Arial" w:hAnsi="Arial"/>
                <w:sz w:val="18"/>
              </w:rPr>
              <w:t xml:space="preserve"> and ends </w:t>
            </w:r>
            <w:smartTag w:uri="urn:schemas-microsoft-com:office:smarttags" w:element="date">
              <w:smartTagPr>
                <w:attr w:name="Month" w:val="12"/>
                <w:attr w:name="Day" w:val="13"/>
                <w:attr w:name="Year" w:val="2007"/>
              </w:smartTagPr>
              <w:r>
                <w:rPr>
                  <w:rFonts w:ascii="Arial" w:hAnsi="Arial"/>
                  <w:sz w:val="18"/>
                </w:rPr>
                <w:t>13-December-2007</w:t>
              </w:r>
            </w:smartTag>
          </w:p>
        </w:tc>
        <w:tc>
          <w:tcPr>
            <w:tcW w:w="2400" w:type="dxa"/>
            <w:tcBorders>
              <w:top w:val="nil"/>
              <w:left w:val="single" w:sz="2" w:space="0" w:color="auto"/>
              <w:bottom w:val="nil"/>
              <w:right w:val="single" w:sz="2" w:space="0" w:color="auto"/>
            </w:tcBorders>
          </w:tcPr>
          <w:p w:rsidR="00C66DF3" w:rsidRDefault="00C66DF3">
            <w:pPr>
              <w:tabs>
                <w:tab w:val="left" w:pos="450"/>
                <w:tab w:val="left" w:pos="3600"/>
                <w:tab w:val="left" w:pos="4320"/>
                <w:tab w:val="left" w:pos="5040"/>
                <w:tab w:val="left" w:pos="5760"/>
                <w:tab w:val="left" w:pos="6480"/>
                <w:tab w:val="left" w:pos="7200"/>
                <w:tab w:val="left" w:pos="7920"/>
                <w:tab w:val="left" w:pos="8640"/>
                <w:tab w:val="left" w:pos="9360"/>
              </w:tabs>
              <w:spacing w:line="240" w:lineRule="exact"/>
              <w:jc w:val="center"/>
              <w:rPr>
                <w:rFonts w:ascii="Arial" w:eastAsia="Arial Unicode MS" w:hAnsi="Arial"/>
                <w:sz w:val="18"/>
              </w:rPr>
            </w:pPr>
            <w:r>
              <w:rPr>
                <w:rFonts w:ascii="Arial" w:hAnsi="Arial"/>
                <w:sz w:val="18"/>
              </w:rPr>
              <w:t>Exclusive</w:t>
            </w:r>
          </w:p>
        </w:tc>
        <w:tc>
          <w:tcPr>
            <w:tcW w:w="2160" w:type="dxa"/>
            <w:tcBorders>
              <w:top w:val="nil"/>
              <w:left w:val="single" w:sz="2" w:space="0" w:color="auto"/>
              <w:bottom w:val="nil"/>
              <w:right w:val="single" w:sz="4" w:space="0" w:color="auto"/>
            </w:tcBorders>
          </w:tcPr>
          <w:p w:rsidR="00C66DF3" w:rsidRDefault="00C66DF3">
            <w:pPr>
              <w:tabs>
                <w:tab w:val="left" w:pos="450"/>
                <w:tab w:val="left" w:pos="2160"/>
                <w:tab w:val="left" w:pos="3600"/>
                <w:tab w:val="left" w:pos="4320"/>
                <w:tab w:val="left" w:pos="5040"/>
                <w:tab w:val="left" w:pos="5760"/>
                <w:tab w:val="left" w:pos="6480"/>
                <w:tab w:val="left" w:pos="7200"/>
                <w:tab w:val="left" w:pos="7920"/>
                <w:tab w:val="left" w:pos="8640"/>
                <w:tab w:val="left" w:pos="9360"/>
              </w:tabs>
              <w:spacing w:line="240" w:lineRule="exact"/>
              <w:ind w:right="570"/>
              <w:jc w:val="center"/>
              <w:rPr>
                <w:rFonts w:ascii="Arial" w:eastAsia="Arial Unicode MS" w:hAnsi="Arial"/>
                <w:sz w:val="18"/>
              </w:rPr>
            </w:pPr>
            <w:r>
              <w:t> </w:t>
            </w:r>
          </w:p>
        </w:tc>
      </w:tr>
      <w:tr w:rsidR="00C66DF3">
        <w:tc>
          <w:tcPr>
            <w:tcW w:w="2160" w:type="dxa"/>
            <w:tcBorders>
              <w:top w:val="nil"/>
              <w:left w:val="single" w:sz="4" w:space="0" w:color="auto"/>
              <w:bottom w:val="single" w:sz="2" w:space="0" w:color="auto"/>
              <w:right w:val="single" w:sz="2" w:space="0" w:color="auto"/>
            </w:tcBorders>
          </w:tcPr>
          <w:p w:rsidR="00C66DF3" w:rsidRDefault="00C66DF3">
            <w:pPr>
              <w:tabs>
                <w:tab w:val="left" w:pos="450"/>
                <w:tab w:val="left" w:pos="3600"/>
                <w:tab w:val="left" w:pos="4320"/>
                <w:tab w:val="left" w:pos="5040"/>
                <w:tab w:val="left" w:pos="5760"/>
                <w:tab w:val="left" w:pos="6480"/>
                <w:tab w:val="left" w:pos="7200"/>
                <w:tab w:val="left" w:pos="7920"/>
                <w:tab w:val="left" w:pos="8640"/>
                <w:tab w:val="left" w:pos="9360"/>
              </w:tabs>
              <w:spacing w:line="240" w:lineRule="exact"/>
              <w:jc w:val="center"/>
              <w:rPr>
                <w:rFonts w:ascii="Arial" w:eastAsia="Arial Unicode MS" w:hAnsi="Arial"/>
                <w:sz w:val="18"/>
              </w:rPr>
            </w:pPr>
            <w:r>
              <w:t> </w:t>
            </w:r>
          </w:p>
        </w:tc>
        <w:tc>
          <w:tcPr>
            <w:tcW w:w="2400" w:type="dxa"/>
            <w:tcBorders>
              <w:top w:val="nil"/>
              <w:left w:val="single" w:sz="2" w:space="0" w:color="auto"/>
              <w:bottom w:val="single" w:sz="2" w:space="0" w:color="auto"/>
              <w:right w:val="single" w:sz="2" w:space="0" w:color="auto"/>
            </w:tcBorders>
          </w:tcPr>
          <w:p w:rsidR="00C66DF3" w:rsidRDefault="00C66DF3">
            <w:pPr>
              <w:tabs>
                <w:tab w:val="left" w:pos="450"/>
                <w:tab w:val="left" w:pos="3600"/>
                <w:tab w:val="left" w:pos="4320"/>
                <w:tab w:val="left" w:pos="5040"/>
                <w:tab w:val="left" w:pos="5760"/>
                <w:tab w:val="left" w:pos="6480"/>
                <w:tab w:val="left" w:pos="7200"/>
                <w:tab w:val="left" w:pos="7920"/>
                <w:tab w:val="left" w:pos="8640"/>
                <w:tab w:val="left" w:pos="9360"/>
              </w:tabs>
              <w:spacing w:line="240" w:lineRule="exact"/>
              <w:jc w:val="center"/>
              <w:rPr>
                <w:rFonts w:ascii="Arial" w:eastAsia="Arial Unicode MS" w:hAnsi="Arial"/>
                <w:sz w:val="18"/>
              </w:rPr>
            </w:pPr>
            <w:r>
              <w:t> </w:t>
            </w:r>
          </w:p>
        </w:tc>
        <w:tc>
          <w:tcPr>
            <w:tcW w:w="2400" w:type="dxa"/>
            <w:tcBorders>
              <w:top w:val="nil"/>
              <w:left w:val="single" w:sz="2" w:space="0" w:color="auto"/>
              <w:bottom w:val="single" w:sz="2" w:space="0" w:color="auto"/>
              <w:right w:val="single" w:sz="2" w:space="0" w:color="auto"/>
            </w:tcBorders>
          </w:tcPr>
          <w:p w:rsidR="00C66DF3" w:rsidRDefault="00C66DF3">
            <w:pPr>
              <w:tabs>
                <w:tab w:val="left" w:pos="450"/>
                <w:tab w:val="left" w:pos="3600"/>
                <w:tab w:val="left" w:pos="4320"/>
                <w:tab w:val="left" w:pos="5040"/>
                <w:tab w:val="left" w:pos="5760"/>
                <w:tab w:val="left" w:pos="6480"/>
                <w:tab w:val="left" w:pos="7200"/>
                <w:tab w:val="left" w:pos="7920"/>
                <w:tab w:val="left" w:pos="8640"/>
                <w:tab w:val="left" w:pos="9360"/>
              </w:tabs>
              <w:spacing w:line="240" w:lineRule="exact"/>
              <w:jc w:val="center"/>
              <w:rPr>
                <w:rFonts w:ascii="Arial" w:eastAsia="Arial Unicode MS" w:hAnsi="Arial"/>
                <w:sz w:val="18"/>
              </w:rPr>
            </w:pPr>
            <w:r>
              <w:t> </w:t>
            </w:r>
          </w:p>
        </w:tc>
        <w:tc>
          <w:tcPr>
            <w:tcW w:w="2160" w:type="dxa"/>
            <w:tcBorders>
              <w:top w:val="nil"/>
              <w:left w:val="single" w:sz="2" w:space="0" w:color="auto"/>
              <w:bottom w:val="single" w:sz="2" w:space="0" w:color="auto"/>
              <w:right w:val="single" w:sz="4" w:space="0" w:color="auto"/>
            </w:tcBorders>
          </w:tcPr>
          <w:p w:rsidR="00C66DF3" w:rsidRDefault="00C66DF3">
            <w:pPr>
              <w:tabs>
                <w:tab w:val="left" w:pos="450"/>
                <w:tab w:val="left" w:pos="2160"/>
                <w:tab w:val="left" w:pos="3600"/>
                <w:tab w:val="left" w:pos="4320"/>
                <w:tab w:val="left" w:pos="5040"/>
                <w:tab w:val="left" w:pos="5760"/>
                <w:tab w:val="left" w:pos="6480"/>
                <w:tab w:val="left" w:pos="7200"/>
                <w:tab w:val="left" w:pos="7920"/>
                <w:tab w:val="left" w:pos="8640"/>
                <w:tab w:val="left" w:pos="9360"/>
              </w:tabs>
              <w:spacing w:line="240" w:lineRule="exact"/>
              <w:ind w:right="570"/>
              <w:jc w:val="center"/>
              <w:rPr>
                <w:rFonts w:ascii="Arial" w:eastAsia="Arial Unicode MS" w:hAnsi="Arial"/>
                <w:sz w:val="18"/>
              </w:rPr>
            </w:pPr>
            <w:r>
              <w:t> </w:t>
            </w:r>
          </w:p>
        </w:tc>
      </w:tr>
    </w:tbl>
    <w:p w:rsidR="00C66DF3" w:rsidRDefault="00C66DF3">
      <w:pPr>
        <w:adjustRightInd w:val="0"/>
        <w:rPr>
          <w:rFonts w:ascii="Arial Unicode MS" w:hAnsi="Arial Unicode MS" w:cs="Arial Unicode MS"/>
        </w:rPr>
      </w:pPr>
      <w:r>
        <w:rPr>
          <w:rFonts w:ascii="Arial" w:hAnsi="Arial"/>
          <w:color w:val="000000"/>
          <w:sz w:val="20"/>
        </w:rPr>
        <w:t> </w:t>
      </w:r>
    </w:p>
    <w:p w:rsidR="00C66DF3" w:rsidRDefault="00C66DF3">
      <w:pPr>
        <w:adjustRightInd w:val="0"/>
        <w:rPr>
          <w:rFonts w:ascii="Arial Unicode MS" w:hAnsi="Arial Unicode MS" w:cs="Arial Unicode MS"/>
        </w:rPr>
      </w:pPr>
      <w:r>
        <w:t> </w:t>
      </w:r>
    </w:p>
    <w:p w:rsidR="00C66DF3" w:rsidRDefault="00C66DF3">
      <w:pPr>
        <w:adjustRightInd w:val="0"/>
        <w:rPr>
          <w:rFonts w:ascii="Arial Unicode MS" w:hAnsi="Arial Unicode MS" w:cs="Arial Unicode MS"/>
          <w:color w:val="000000"/>
        </w:rPr>
      </w:pPr>
      <w:r>
        <w:rPr>
          <w:rFonts w:ascii="Arial" w:hAnsi="Arial"/>
          <w:b/>
          <w:color w:val="0000FF"/>
          <w:sz w:val="20"/>
        </w:rPr>
        <w:t>&lt;&lt;Contract Exclusivity&gt;&gt;</w:t>
      </w:r>
    </w:p>
    <w:p w:rsidR="00C66DF3" w:rsidRDefault="00C66DF3">
      <w:pPr>
        <w:adjustRightInd w:val="0"/>
        <w:rPr>
          <w:rFonts w:ascii="Arial Unicode MS" w:hAnsi="Arial Unicode MS" w:cs="Arial Unicode MS"/>
          <w:color w:val="000000"/>
        </w:rPr>
      </w:pPr>
      <w:r>
        <w:rPr>
          <w:rFonts w:ascii="Arial" w:hAnsi="Arial"/>
          <w:color w:val="000000"/>
          <w:sz w:val="20"/>
        </w:rPr>
        <w:t>Exclusive</w:t>
      </w:r>
    </w:p>
    <w:p w:rsidR="00C66DF3" w:rsidRDefault="00C66DF3">
      <w:pPr>
        <w:rPr>
          <w:b/>
          <w:u w:val="single"/>
        </w:rPr>
      </w:pPr>
    </w:p>
    <w:p w:rsidR="00C66DF3" w:rsidRDefault="00C66DF3">
      <w:pPr>
        <w:rPr>
          <w:b/>
          <w:u w:val="single"/>
        </w:rPr>
      </w:pPr>
    </w:p>
    <w:p w:rsidR="00C66DF3" w:rsidRDefault="00C66DF3">
      <w:pPr>
        <w:rPr>
          <w:b/>
          <w:u w:val="single"/>
        </w:rPr>
      </w:pPr>
      <w:r>
        <w:rPr>
          <w:b/>
          <w:u w:val="single"/>
        </w:rPr>
        <w:t>2006-08-02</w:t>
      </w:r>
    </w:p>
    <w:p w:rsidR="00C66DF3" w:rsidRDefault="00C66DF3">
      <w:r>
        <w:t>Additional improvements to Producer Royalty Reporting Module</w:t>
      </w:r>
    </w:p>
    <w:p w:rsidR="00C66DF3" w:rsidRDefault="00C66DF3">
      <w:pPr>
        <w:rPr>
          <w:b/>
          <w:u w:val="single"/>
        </w:rPr>
      </w:pPr>
    </w:p>
    <w:p w:rsidR="00C66DF3" w:rsidRDefault="00C66DF3">
      <w:pPr>
        <w:rPr>
          <w:b/>
          <w:u w:val="single"/>
        </w:rPr>
      </w:pPr>
      <w:r>
        <w:rPr>
          <w:b/>
          <w:u w:val="single"/>
        </w:rPr>
        <w:t>2006-07-31</w:t>
      </w:r>
    </w:p>
    <w:p w:rsidR="00C66DF3" w:rsidRDefault="00C66DF3">
      <w:pPr>
        <w:numPr>
          <w:ilvl w:val="0"/>
          <w:numId w:val="37"/>
        </w:numPr>
      </w:pPr>
      <w:r>
        <w:t xml:space="preserve">New Producer Report Royalty module added. Documentation to be provided elsewhere. </w:t>
      </w:r>
    </w:p>
    <w:p w:rsidR="00C66DF3" w:rsidRDefault="00C66DF3">
      <w:pPr>
        <w:numPr>
          <w:ilvl w:val="0"/>
          <w:numId w:val="37"/>
        </w:numPr>
      </w:pPr>
      <w:r>
        <w:t>Application of Receipts screen now shows title name next to invoice</w:t>
      </w:r>
    </w:p>
    <w:p w:rsidR="00C66DF3" w:rsidRDefault="00C66DF3">
      <w:pPr>
        <w:rPr>
          <w:b/>
          <w:u w:val="single"/>
        </w:rPr>
      </w:pPr>
    </w:p>
    <w:p w:rsidR="00C66DF3" w:rsidRDefault="00C66DF3">
      <w:pPr>
        <w:rPr>
          <w:b/>
          <w:u w:val="single"/>
        </w:rPr>
      </w:pPr>
      <w:r>
        <w:rPr>
          <w:b/>
          <w:u w:val="single"/>
        </w:rPr>
        <w:t>2006-07-18</w:t>
      </w:r>
    </w:p>
    <w:p w:rsidR="00C66DF3" w:rsidRDefault="00C66DF3">
      <w:pPr>
        <w:numPr>
          <w:ilvl w:val="0"/>
          <w:numId w:val="36"/>
        </w:numPr>
      </w:pPr>
      <w:r>
        <w:t xml:space="preserve">New Finished Goods Orders module in place and operational.  Module located in Contract under Orders tab.  Additional development in progress.  </w:t>
      </w:r>
    </w:p>
    <w:p w:rsidR="00C66DF3" w:rsidRDefault="00C66DF3">
      <w:pPr>
        <w:rPr>
          <w:b/>
          <w:u w:val="single"/>
        </w:rPr>
      </w:pPr>
    </w:p>
    <w:p w:rsidR="00C66DF3" w:rsidRDefault="00C66DF3">
      <w:pPr>
        <w:numPr>
          <w:ilvl w:val="0"/>
          <w:numId w:val="35"/>
        </w:numPr>
        <w:rPr>
          <w:b/>
          <w:u w:val="single"/>
        </w:rPr>
      </w:pPr>
      <w:r>
        <w:t>Comet invoice creation popup now supports entering base currency invoice rate or base currency execution rate or contract currency amount as shown:</w:t>
      </w:r>
    </w:p>
    <w:p w:rsidR="00C66DF3" w:rsidRDefault="00C66DF3">
      <w:pPr>
        <w:numPr>
          <w:ilvl w:val="0"/>
          <w:numId w:val="35"/>
        </w:numPr>
        <w:rPr>
          <w:b/>
          <w:u w:val="single"/>
        </w:rPr>
      </w:pPr>
      <w:r>
        <w:rPr>
          <w:b/>
          <w:u w:val="single"/>
        </w:rPr>
        <w:pict>
          <v:shape id="_x0000_i1037" type="#_x0000_t75" style="width:351.15pt;height:429.3pt">
            <v:imagedata r:id="rId19" o:title=""/>
          </v:shape>
        </w:pict>
      </w:r>
    </w:p>
    <w:p w:rsidR="00C66DF3" w:rsidRDefault="00C66DF3">
      <w:pPr>
        <w:rPr>
          <w:b/>
          <w:u w:val="single"/>
        </w:rPr>
      </w:pPr>
    </w:p>
    <w:p w:rsidR="00C66DF3" w:rsidRDefault="00C66DF3">
      <w:pPr>
        <w:numPr>
          <w:ilvl w:val="0"/>
          <w:numId w:val="35"/>
        </w:numPr>
      </w:pPr>
      <w:r>
        <w:t xml:space="preserve">Payments for Report 186 and 197, Invoice Aging Reports, are filtered to the receipt criteria when the global filter is on. </w:t>
      </w:r>
    </w:p>
    <w:p w:rsidR="00C66DF3" w:rsidRDefault="00C66DF3">
      <w:pPr>
        <w:rPr>
          <w:b/>
          <w:u w:val="single"/>
        </w:rPr>
      </w:pPr>
    </w:p>
    <w:p w:rsidR="00C66DF3" w:rsidRDefault="00C66DF3">
      <w:pPr>
        <w:rPr>
          <w:b/>
          <w:u w:val="single"/>
        </w:rPr>
      </w:pPr>
      <w:r>
        <w:rPr>
          <w:b/>
          <w:u w:val="single"/>
        </w:rPr>
        <w:t>2006-06-30</w:t>
      </w:r>
    </w:p>
    <w:p w:rsidR="00C66DF3" w:rsidRDefault="00C66DF3">
      <w:r>
        <w:t>Various changes to be detailed:</w:t>
      </w:r>
    </w:p>
    <w:p w:rsidR="00C66DF3" w:rsidRDefault="00C66DF3">
      <w:pPr>
        <w:numPr>
          <w:ilvl w:val="0"/>
          <w:numId w:val="34"/>
        </w:numPr>
      </w:pPr>
      <w:r>
        <w:t>Sales interest tracking</w:t>
      </w:r>
    </w:p>
    <w:p w:rsidR="00C66DF3" w:rsidRDefault="00C66DF3">
      <w:pPr>
        <w:numPr>
          <w:ilvl w:val="0"/>
          <w:numId w:val="34"/>
        </w:numPr>
      </w:pPr>
      <w:r>
        <w:t>Word Contract Merge</w:t>
      </w:r>
    </w:p>
    <w:p w:rsidR="00C66DF3" w:rsidRDefault="00C66DF3"/>
    <w:p w:rsidR="00C66DF3" w:rsidRDefault="00C66DF3"/>
    <w:p w:rsidR="00C66DF3" w:rsidRDefault="00C66DF3">
      <w:pPr>
        <w:rPr>
          <w:b/>
          <w:u w:val="single"/>
        </w:rPr>
      </w:pPr>
    </w:p>
    <w:p w:rsidR="00C66DF3" w:rsidRDefault="00C66DF3">
      <w:pPr>
        <w:rPr>
          <w:b/>
          <w:u w:val="single"/>
        </w:rPr>
      </w:pPr>
      <w:r>
        <w:rPr>
          <w:b/>
          <w:u w:val="single"/>
        </w:rPr>
        <w:t>2006-06-20</w:t>
      </w:r>
    </w:p>
    <w:p w:rsidR="00C66DF3" w:rsidRDefault="00C66DF3">
      <w:pPr>
        <w:numPr>
          <w:ilvl w:val="0"/>
          <w:numId w:val="33"/>
        </w:numPr>
      </w:pPr>
      <w:r>
        <w:t>When selecting the contract customer and there are customer restrictions, Comet will prompt user before adding the restriction to additional terms.</w:t>
      </w:r>
    </w:p>
    <w:p w:rsidR="00C66DF3" w:rsidRDefault="00C66DF3">
      <w:pPr>
        <w:numPr>
          <w:ilvl w:val="0"/>
          <w:numId w:val="33"/>
        </w:numPr>
      </w:pPr>
      <w:r>
        <w:t>Various budget and forecasting module changes documented elsewhere</w:t>
      </w:r>
    </w:p>
    <w:p w:rsidR="00C66DF3" w:rsidRDefault="00C66DF3">
      <w:pPr>
        <w:rPr>
          <w:b/>
          <w:u w:val="single"/>
        </w:rPr>
      </w:pPr>
    </w:p>
    <w:p w:rsidR="00C66DF3" w:rsidRDefault="00C66DF3">
      <w:pPr>
        <w:rPr>
          <w:b/>
          <w:u w:val="single"/>
        </w:rPr>
      </w:pPr>
      <w:r>
        <w:rPr>
          <w:b/>
          <w:u w:val="single"/>
        </w:rPr>
        <w:t>2006-06-05</w:t>
      </w:r>
    </w:p>
    <w:p w:rsidR="00C66DF3" w:rsidRDefault="00C66DF3">
      <w:pPr>
        <w:numPr>
          <w:ilvl w:val="0"/>
          <w:numId w:val="32"/>
        </w:numPr>
      </w:pPr>
      <w:r>
        <w:t>During updates, if a contract has only one right category, the right category allocation is set to 100</w:t>
      </w:r>
      <w:proofErr w:type="gramStart"/>
      <w:r>
        <w:t>% .</w:t>
      </w:r>
      <w:proofErr w:type="gramEnd"/>
      <w:r>
        <w:t xml:space="preserve">  If there is only one territory, the territory allocation is set to 100%.  This may be done manually in updates and patches using procedure 23 and 24. </w:t>
      </w:r>
    </w:p>
    <w:p w:rsidR="00C66DF3" w:rsidRDefault="00C66DF3">
      <w:pPr>
        <w:numPr>
          <w:ilvl w:val="0"/>
          <w:numId w:val="32"/>
        </w:numPr>
      </w:pPr>
      <w:r>
        <w:t xml:space="preserve">When adding titles to a contract, if there is only one commission for the title in the owned rights commission setup, Comet will link that commission rate to the contract. </w:t>
      </w:r>
    </w:p>
    <w:p w:rsidR="00C66DF3" w:rsidRDefault="00C66DF3"/>
    <w:p w:rsidR="00C66DF3" w:rsidRDefault="00C66DF3">
      <w:pPr>
        <w:rPr>
          <w:b/>
          <w:u w:val="single"/>
        </w:rPr>
      </w:pPr>
    </w:p>
    <w:p w:rsidR="00C66DF3" w:rsidRDefault="00C66DF3">
      <w:pPr>
        <w:rPr>
          <w:b/>
          <w:u w:val="single"/>
        </w:rPr>
      </w:pPr>
      <w:r>
        <w:rPr>
          <w:b/>
          <w:u w:val="single"/>
        </w:rPr>
        <w:t>2006-05-29</w:t>
      </w:r>
    </w:p>
    <w:p w:rsidR="00C66DF3" w:rsidRDefault="00C66DF3">
      <w:pPr>
        <w:numPr>
          <w:ilvl w:val="0"/>
          <w:numId w:val="31"/>
        </w:numPr>
      </w:pPr>
      <w:r>
        <w:t xml:space="preserve">Comet updates internal territory relationships tables. This will not affect the contracts or territory setup.  </w:t>
      </w:r>
    </w:p>
    <w:p w:rsidR="00C66DF3" w:rsidRDefault="00C66DF3">
      <w:pPr>
        <w:rPr>
          <w:b/>
          <w:u w:val="single"/>
        </w:rPr>
      </w:pPr>
    </w:p>
    <w:p w:rsidR="00C66DF3" w:rsidRDefault="00C66DF3">
      <w:pPr>
        <w:rPr>
          <w:b/>
          <w:u w:val="single"/>
        </w:rPr>
      </w:pPr>
    </w:p>
    <w:p w:rsidR="00C66DF3" w:rsidRDefault="00C66DF3">
      <w:pPr>
        <w:rPr>
          <w:b/>
          <w:u w:val="single"/>
        </w:rPr>
      </w:pPr>
      <w:r>
        <w:rPr>
          <w:b/>
          <w:u w:val="single"/>
        </w:rPr>
        <w:t xml:space="preserve">2006-05-23 </w:t>
      </w:r>
      <w:smartTag w:uri="urn:schemas-microsoft-com:office:smarttags" w:element="time">
        <w:smartTagPr>
          <w:attr w:name="Hour" w:val="17"/>
          <w:attr w:name="Minute" w:val="58"/>
        </w:smartTagPr>
        <w:r>
          <w:rPr>
            <w:b/>
            <w:u w:val="single"/>
          </w:rPr>
          <w:t>05:58</w:t>
        </w:r>
      </w:smartTag>
    </w:p>
    <w:p w:rsidR="00C66DF3" w:rsidRDefault="00C66DF3">
      <w:pPr>
        <w:rPr>
          <w:b/>
          <w:u w:val="single"/>
        </w:rPr>
      </w:pPr>
    </w:p>
    <w:p w:rsidR="00C66DF3" w:rsidRDefault="00C66DF3">
      <w:pPr>
        <w:numPr>
          <w:ilvl w:val="0"/>
          <w:numId w:val="29"/>
        </w:numPr>
      </w:pPr>
      <w:r>
        <w:t xml:space="preserve">(Availability reports) Significant improvement to the way holdbacks </w:t>
      </w:r>
      <w:proofErr w:type="gramStart"/>
      <w:r>
        <w:t>are</w:t>
      </w:r>
      <w:proofErr w:type="gramEnd"/>
      <w:r>
        <w:t xml:space="preserve"> computed and displayed.  Availability windows that have active holdbacks but otherwise available to sell have a new status (HOLDBACK) and color code option. The color code can be set to the same color as “available”, but any setting is possible.  </w:t>
      </w:r>
      <w:r>
        <w:br/>
      </w:r>
      <w:r>
        <w:br/>
        <w:t xml:space="preserve">This option relates to rights entered in Comet with a license type of “Holdback”.  This is generally not related to the holdbacks entered in the holdback tab, which are designed to delay exploitation of the rights licensed. </w:t>
      </w:r>
      <w:r>
        <w:br/>
      </w:r>
    </w:p>
    <w:p w:rsidR="00C66DF3" w:rsidRDefault="00C66DF3">
      <w:pPr>
        <w:numPr>
          <w:ilvl w:val="0"/>
          <w:numId w:val="29"/>
        </w:numPr>
      </w:pPr>
      <w:r>
        <w:t xml:space="preserve">New Availability Report option “Show Holdbacks Granted…” will show the holdbacks granted, along with the holdback license term information, if checked on.  If this checkbox is clear, Comet will only show AVAIL without showing the holdback information. </w:t>
      </w:r>
      <w:r>
        <w:pict>
          <v:shape id="_x0000_i1038" type="#_x0000_t75" style="width:394.65pt;height:115.45pt">
            <v:imagedata r:id="rId20" o:title=""/>
          </v:shape>
        </w:pict>
      </w:r>
    </w:p>
    <w:p w:rsidR="00C66DF3" w:rsidRDefault="00C66DF3">
      <w:pPr>
        <w:rPr>
          <w:b/>
          <w:u w:val="single"/>
        </w:rPr>
      </w:pPr>
    </w:p>
    <w:p w:rsidR="00C66DF3" w:rsidRDefault="00C66DF3">
      <w:pPr>
        <w:numPr>
          <w:ilvl w:val="0"/>
          <w:numId w:val="29"/>
        </w:numPr>
      </w:pPr>
      <w:r>
        <w:t>Shown is an example of how the “Holdback” status is depicted in a Comet avail report:</w:t>
      </w:r>
    </w:p>
    <w:tbl>
      <w:tblPr>
        <w:tblW w:w="11560" w:type="dxa"/>
        <w:tblInd w:w="93" w:type="dxa"/>
        <w:tblLook w:val="0000" w:firstRow="0" w:lastRow="0" w:firstColumn="0" w:lastColumn="0" w:noHBand="0" w:noVBand="0"/>
      </w:tblPr>
      <w:tblGrid>
        <w:gridCol w:w="2380"/>
        <w:gridCol w:w="1183"/>
        <w:gridCol w:w="1119"/>
        <w:gridCol w:w="1172"/>
        <w:gridCol w:w="1084"/>
        <w:gridCol w:w="1119"/>
        <w:gridCol w:w="1119"/>
        <w:gridCol w:w="1172"/>
        <w:gridCol w:w="1119"/>
        <w:gridCol w:w="1020"/>
      </w:tblGrid>
      <w:tr w:rsidR="00C66DF3">
        <w:trPr>
          <w:trHeight w:val="285"/>
        </w:trPr>
        <w:tc>
          <w:tcPr>
            <w:tcW w:w="4420" w:type="dxa"/>
            <w:gridSpan w:val="3"/>
            <w:tcBorders>
              <w:top w:val="nil"/>
              <w:left w:val="nil"/>
              <w:bottom w:val="nil"/>
              <w:right w:val="nil"/>
            </w:tcBorders>
            <w:noWrap/>
          </w:tcPr>
          <w:p w:rsidR="00C66DF3" w:rsidRDefault="00C66DF3">
            <w:pPr>
              <w:rPr>
                <w:rFonts w:ascii="Arial" w:hAnsi="Arial" w:cs="Arial"/>
                <w:sz w:val="22"/>
                <w:szCs w:val="22"/>
              </w:rPr>
            </w:pPr>
          </w:p>
          <w:p w:rsidR="00C66DF3" w:rsidRDefault="00C66DF3">
            <w:pPr>
              <w:rPr>
                <w:rFonts w:ascii="Arial" w:hAnsi="Arial" w:cs="Arial"/>
                <w:sz w:val="22"/>
                <w:szCs w:val="22"/>
              </w:rPr>
            </w:pPr>
            <w:r>
              <w:rPr>
                <w:rFonts w:ascii="Arial" w:hAnsi="Arial" w:cs="Arial"/>
                <w:sz w:val="22"/>
                <w:szCs w:val="22"/>
              </w:rPr>
              <w:t xml:space="preserve">Feature Titles: </w:t>
            </w:r>
            <w:smartTag w:uri="urn:schemas-microsoft-com:office:smarttags" w:element="place">
              <w:smartTag w:uri="urn:schemas-microsoft-com:office:smarttags" w:element="PlaceName">
                <w:r>
                  <w:rPr>
                    <w:rFonts w:ascii="Arial" w:hAnsi="Arial" w:cs="Arial"/>
                    <w:sz w:val="22"/>
                    <w:szCs w:val="22"/>
                  </w:rPr>
                  <w:t>Key</w:t>
                </w:r>
              </w:smartTag>
              <w:r>
                <w:rPr>
                  <w:rFonts w:ascii="Arial" w:hAnsi="Arial" w:cs="Arial"/>
                  <w:sz w:val="22"/>
                  <w:szCs w:val="22"/>
                </w:rPr>
                <w:t xml:space="preserve"> </w:t>
              </w:r>
              <w:smartTag w:uri="urn:schemas-microsoft-com:office:smarttags" w:element="PlaceType">
                <w:r>
                  <w:rPr>
                    <w:rFonts w:ascii="Arial" w:hAnsi="Arial" w:cs="Arial"/>
                    <w:sz w:val="22"/>
                    <w:szCs w:val="22"/>
                  </w:rPr>
                  <w:t>Territory</w:t>
                </w:r>
              </w:smartTag>
            </w:smartTag>
            <w:r>
              <w:rPr>
                <w:rFonts w:ascii="Arial" w:hAnsi="Arial" w:cs="Arial"/>
                <w:sz w:val="22"/>
                <w:szCs w:val="22"/>
              </w:rPr>
              <w:t xml:space="preserve"> Availability</w:t>
            </w:r>
          </w:p>
        </w:tc>
        <w:tc>
          <w:tcPr>
            <w:tcW w:w="1020" w:type="dxa"/>
            <w:tcBorders>
              <w:top w:val="nil"/>
              <w:left w:val="nil"/>
              <w:bottom w:val="nil"/>
              <w:right w:val="nil"/>
            </w:tcBorders>
            <w:noWrap/>
            <w:vAlign w:val="bottom"/>
          </w:tcPr>
          <w:p w:rsidR="00C66DF3" w:rsidRDefault="00C66DF3">
            <w:pPr>
              <w:rPr>
                <w:rFonts w:ascii="Arial" w:hAnsi="Arial" w:cs="Arial"/>
                <w:sz w:val="20"/>
                <w:szCs w:val="20"/>
              </w:rPr>
            </w:pPr>
          </w:p>
        </w:tc>
        <w:tc>
          <w:tcPr>
            <w:tcW w:w="1020" w:type="dxa"/>
            <w:tcBorders>
              <w:top w:val="nil"/>
              <w:left w:val="nil"/>
              <w:bottom w:val="nil"/>
              <w:right w:val="nil"/>
            </w:tcBorders>
            <w:noWrap/>
            <w:vAlign w:val="bottom"/>
          </w:tcPr>
          <w:p w:rsidR="00C66DF3" w:rsidRDefault="00C66DF3">
            <w:pPr>
              <w:rPr>
                <w:rFonts w:ascii="Arial" w:hAnsi="Arial" w:cs="Arial"/>
                <w:sz w:val="20"/>
                <w:szCs w:val="20"/>
              </w:rPr>
            </w:pPr>
          </w:p>
        </w:tc>
        <w:tc>
          <w:tcPr>
            <w:tcW w:w="1020" w:type="dxa"/>
            <w:tcBorders>
              <w:top w:val="nil"/>
              <w:left w:val="nil"/>
              <w:bottom w:val="nil"/>
              <w:right w:val="nil"/>
            </w:tcBorders>
            <w:noWrap/>
            <w:vAlign w:val="bottom"/>
          </w:tcPr>
          <w:p w:rsidR="00C66DF3" w:rsidRDefault="00C66DF3">
            <w:pPr>
              <w:rPr>
                <w:rFonts w:ascii="Arial" w:hAnsi="Arial" w:cs="Arial"/>
                <w:sz w:val="20"/>
                <w:szCs w:val="20"/>
              </w:rPr>
            </w:pPr>
          </w:p>
        </w:tc>
        <w:tc>
          <w:tcPr>
            <w:tcW w:w="1020" w:type="dxa"/>
            <w:tcBorders>
              <w:top w:val="nil"/>
              <w:left w:val="nil"/>
              <w:bottom w:val="nil"/>
              <w:right w:val="nil"/>
            </w:tcBorders>
            <w:noWrap/>
            <w:vAlign w:val="bottom"/>
          </w:tcPr>
          <w:p w:rsidR="00C66DF3" w:rsidRDefault="00C66DF3">
            <w:pPr>
              <w:rPr>
                <w:rFonts w:ascii="Arial" w:hAnsi="Arial" w:cs="Arial"/>
                <w:sz w:val="20"/>
                <w:szCs w:val="20"/>
              </w:rPr>
            </w:pPr>
          </w:p>
        </w:tc>
        <w:tc>
          <w:tcPr>
            <w:tcW w:w="1020" w:type="dxa"/>
            <w:tcBorders>
              <w:top w:val="nil"/>
              <w:left w:val="nil"/>
              <w:bottom w:val="nil"/>
              <w:right w:val="nil"/>
            </w:tcBorders>
            <w:noWrap/>
            <w:vAlign w:val="bottom"/>
          </w:tcPr>
          <w:p w:rsidR="00C66DF3" w:rsidRDefault="00C66DF3">
            <w:pPr>
              <w:rPr>
                <w:rFonts w:ascii="Arial" w:hAnsi="Arial" w:cs="Arial"/>
                <w:sz w:val="20"/>
                <w:szCs w:val="20"/>
              </w:rPr>
            </w:pPr>
          </w:p>
        </w:tc>
        <w:tc>
          <w:tcPr>
            <w:tcW w:w="1020" w:type="dxa"/>
            <w:tcBorders>
              <w:top w:val="nil"/>
              <w:left w:val="nil"/>
              <w:bottom w:val="nil"/>
              <w:right w:val="nil"/>
            </w:tcBorders>
            <w:noWrap/>
            <w:vAlign w:val="bottom"/>
          </w:tcPr>
          <w:p w:rsidR="00C66DF3" w:rsidRDefault="00C66DF3">
            <w:pPr>
              <w:rPr>
                <w:rFonts w:ascii="Arial" w:hAnsi="Arial" w:cs="Arial"/>
                <w:sz w:val="20"/>
                <w:szCs w:val="20"/>
              </w:rPr>
            </w:pPr>
          </w:p>
        </w:tc>
        <w:tc>
          <w:tcPr>
            <w:tcW w:w="1020" w:type="dxa"/>
            <w:tcBorders>
              <w:top w:val="nil"/>
              <w:left w:val="nil"/>
              <w:bottom w:val="nil"/>
              <w:right w:val="nil"/>
            </w:tcBorders>
            <w:noWrap/>
            <w:vAlign w:val="bottom"/>
          </w:tcPr>
          <w:p w:rsidR="00C66DF3" w:rsidRDefault="00C66DF3">
            <w:pPr>
              <w:rPr>
                <w:rFonts w:ascii="Arial" w:hAnsi="Arial" w:cs="Arial"/>
                <w:sz w:val="20"/>
                <w:szCs w:val="20"/>
              </w:rPr>
            </w:pPr>
          </w:p>
        </w:tc>
      </w:tr>
      <w:tr w:rsidR="00C66DF3">
        <w:trPr>
          <w:trHeight w:val="765"/>
        </w:trPr>
        <w:tc>
          <w:tcPr>
            <w:tcW w:w="2380" w:type="dxa"/>
            <w:tcBorders>
              <w:top w:val="nil"/>
              <w:left w:val="nil"/>
              <w:bottom w:val="nil"/>
              <w:right w:val="nil"/>
            </w:tcBorders>
            <w:noWrap/>
            <w:vAlign w:val="bottom"/>
          </w:tcPr>
          <w:p w:rsidR="00C66DF3" w:rsidRDefault="00C66DF3">
            <w:pPr>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C66DF3" w:rsidRDefault="00C66DF3">
            <w:pPr>
              <w:rPr>
                <w:rFonts w:ascii="Arial" w:hAnsi="Arial" w:cs="Arial"/>
                <w:b/>
                <w:bCs/>
                <w:sz w:val="20"/>
                <w:szCs w:val="20"/>
              </w:rPr>
            </w:pPr>
            <w:smartTag w:uri="urn:schemas-microsoft-com:office:smarttags" w:element="place">
              <w:smartTag w:uri="urn:schemas-microsoft-com:office:smarttags" w:element="country-region">
                <w:r>
                  <w:rPr>
                    <w:rFonts w:ascii="Arial" w:hAnsi="Arial" w:cs="Arial"/>
                    <w:b/>
                    <w:bCs/>
                    <w:sz w:val="20"/>
                    <w:szCs w:val="20"/>
                  </w:rPr>
                  <w:t>UNITED KINGDOM</w:t>
                </w:r>
              </w:smartTag>
            </w:smartTag>
          </w:p>
        </w:tc>
        <w:tc>
          <w:tcPr>
            <w:tcW w:w="1020" w:type="dxa"/>
            <w:tcBorders>
              <w:top w:val="single" w:sz="4" w:space="0" w:color="auto"/>
              <w:left w:val="nil"/>
              <w:bottom w:val="single" w:sz="4" w:space="0" w:color="auto"/>
              <w:right w:val="single" w:sz="4" w:space="0" w:color="auto"/>
            </w:tcBorders>
          </w:tcPr>
          <w:p w:rsidR="00C66DF3" w:rsidRDefault="00C66DF3">
            <w:pPr>
              <w:rPr>
                <w:rFonts w:ascii="Arial" w:hAnsi="Arial" w:cs="Arial"/>
                <w:b/>
                <w:bCs/>
                <w:sz w:val="20"/>
                <w:szCs w:val="20"/>
              </w:rPr>
            </w:pPr>
            <w:smartTag w:uri="urn:schemas-microsoft-com:office:smarttags" w:element="place">
              <w:smartTag w:uri="urn:schemas-microsoft-com:office:smarttags" w:element="country-region">
                <w:r>
                  <w:rPr>
                    <w:rFonts w:ascii="Arial" w:hAnsi="Arial" w:cs="Arial"/>
                    <w:b/>
                    <w:bCs/>
                    <w:sz w:val="20"/>
                    <w:szCs w:val="20"/>
                  </w:rPr>
                  <w:t>France</w:t>
                </w:r>
              </w:smartTag>
            </w:smartTag>
          </w:p>
        </w:tc>
        <w:tc>
          <w:tcPr>
            <w:tcW w:w="1020" w:type="dxa"/>
            <w:tcBorders>
              <w:top w:val="single" w:sz="4" w:space="0" w:color="auto"/>
              <w:left w:val="nil"/>
              <w:bottom w:val="single" w:sz="4" w:space="0" w:color="auto"/>
              <w:right w:val="single" w:sz="4" w:space="0" w:color="auto"/>
            </w:tcBorders>
          </w:tcPr>
          <w:p w:rsidR="00C66DF3" w:rsidRDefault="00C66DF3">
            <w:pPr>
              <w:rPr>
                <w:rFonts w:ascii="Arial" w:hAnsi="Arial" w:cs="Arial"/>
                <w:b/>
                <w:bCs/>
                <w:sz w:val="20"/>
                <w:szCs w:val="20"/>
              </w:rPr>
            </w:pPr>
            <w:smartTag w:uri="urn:schemas-microsoft-com:office:smarttags" w:element="place">
              <w:r>
                <w:rPr>
                  <w:rFonts w:ascii="Arial" w:hAnsi="Arial" w:cs="Arial"/>
                  <w:b/>
                  <w:bCs/>
                  <w:sz w:val="20"/>
                  <w:szCs w:val="20"/>
                </w:rPr>
                <w:t>BENELUX</w:t>
              </w:r>
            </w:smartTag>
          </w:p>
        </w:tc>
        <w:tc>
          <w:tcPr>
            <w:tcW w:w="1020" w:type="dxa"/>
            <w:tcBorders>
              <w:top w:val="single" w:sz="4" w:space="0" w:color="auto"/>
              <w:left w:val="nil"/>
              <w:bottom w:val="single" w:sz="4" w:space="0" w:color="auto"/>
              <w:right w:val="single" w:sz="4" w:space="0" w:color="auto"/>
            </w:tcBorders>
          </w:tcPr>
          <w:p w:rsidR="00C66DF3" w:rsidRDefault="00C66DF3">
            <w:pPr>
              <w:rPr>
                <w:rFonts w:ascii="Arial" w:hAnsi="Arial" w:cs="Arial"/>
                <w:b/>
                <w:bCs/>
                <w:sz w:val="20"/>
                <w:szCs w:val="20"/>
              </w:rPr>
            </w:pPr>
            <w:smartTag w:uri="urn:schemas-microsoft-com:office:smarttags" w:element="place">
              <w:smartTag w:uri="urn:schemas-microsoft-com:office:smarttags" w:element="country-region">
                <w:r>
                  <w:rPr>
                    <w:rFonts w:ascii="Arial" w:hAnsi="Arial" w:cs="Arial"/>
                    <w:b/>
                    <w:bCs/>
                    <w:sz w:val="20"/>
                    <w:szCs w:val="20"/>
                  </w:rPr>
                  <w:t>Germany</w:t>
                </w:r>
              </w:smartTag>
            </w:smartTag>
          </w:p>
        </w:tc>
        <w:tc>
          <w:tcPr>
            <w:tcW w:w="1020" w:type="dxa"/>
            <w:tcBorders>
              <w:top w:val="single" w:sz="4" w:space="0" w:color="auto"/>
              <w:left w:val="nil"/>
              <w:bottom w:val="single" w:sz="4" w:space="0" w:color="auto"/>
              <w:right w:val="single" w:sz="4" w:space="0" w:color="auto"/>
            </w:tcBorders>
          </w:tcPr>
          <w:p w:rsidR="00C66DF3" w:rsidRDefault="00C66DF3">
            <w:pPr>
              <w:rPr>
                <w:rFonts w:ascii="Arial" w:hAnsi="Arial" w:cs="Arial"/>
                <w:b/>
                <w:bCs/>
                <w:sz w:val="20"/>
                <w:szCs w:val="20"/>
              </w:rPr>
            </w:pPr>
            <w:smartTag w:uri="urn:schemas-microsoft-com:office:smarttags" w:element="place">
              <w:smartTag w:uri="urn:schemas-microsoft-com:office:smarttags" w:element="country-region">
                <w:r>
                  <w:rPr>
                    <w:rFonts w:ascii="Arial" w:hAnsi="Arial" w:cs="Arial"/>
                    <w:b/>
                    <w:bCs/>
                    <w:sz w:val="20"/>
                    <w:szCs w:val="20"/>
                  </w:rPr>
                  <w:t>Sweden</w:t>
                </w:r>
              </w:smartTag>
            </w:smartTag>
          </w:p>
        </w:tc>
        <w:tc>
          <w:tcPr>
            <w:tcW w:w="1020" w:type="dxa"/>
            <w:tcBorders>
              <w:top w:val="single" w:sz="4" w:space="0" w:color="auto"/>
              <w:left w:val="nil"/>
              <w:bottom w:val="single" w:sz="4" w:space="0" w:color="auto"/>
              <w:right w:val="single" w:sz="4" w:space="0" w:color="auto"/>
            </w:tcBorders>
          </w:tcPr>
          <w:p w:rsidR="00C66DF3" w:rsidRDefault="00C66DF3">
            <w:pPr>
              <w:rPr>
                <w:rFonts w:ascii="Arial" w:hAnsi="Arial" w:cs="Arial"/>
                <w:b/>
                <w:bCs/>
                <w:sz w:val="20"/>
                <w:szCs w:val="20"/>
              </w:rPr>
            </w:pPr>
            <w:smartTag w:uri="urn:schemas-microsoft-com:office:smarttags" w:element="place">
              <w:smartTag w:uri="urn:schemas-microsoft-com:office:smarttags" w:element="country-region">
                <w:r>
                  <w:rPr>
                    <w:rFonts w:ascii="Arial" w:hAnsi="Arial" w:cs="Arial"/>
                    <w:b/>
                    <w:bCs/>
                    <w:sz w:val="20"/>
                    <w:szCs w:val="20"/>
                  </w:rPr>
                  <w:t>Spain</w:t>
                </w:r>
              </w:smartTag>
            </w:smartTag>
          </w:p>
        </w:tc>
        <w:tc>
          <w:tcPr>
            <w:tcW w:w="1020" w:type="dxa"/>
            <w:tcBorders>
              <w:top w:val="single" w:sz="4" w:space="0" w:color="auto"/>
              <w:left w:val="nil"/>
              <w:bottom w:val="single" w:sz="4" w:space="0" w:color="auto"/>
              <w:right w:val="single" w:sz="4" w:space="0" w:color="auto"/>
            </w:tcBorders>
          </w:tcPr>
          <w:p w:rsidR="00C66DF3" w:rsidRDefault="00C66DF3">
            <w:pPr>
              <w:rPr>
                <w:rFonts w:ascii="Arial" w:hAnsi="Arial" w:cs="Arial"/>
                <w:b/>
                <w:bCs/>
                <w:sz w:val="20"/>
                <w:szCs w:val="20"/>
              </w:rPr>
            </w:pPr>
            <w:smartTag w:uri="urn:schemas-microsoft-com:office:smarttags" w:element="place">
              <w:r>
                <w:rPr>
                  <w:rFonts w:ascii="Arial" w:hAnsi="Arial" w:cs="Arial"/>
                  <w:b/>
                  <w:bCs/>
                  <w:sz w:val="20"/>
                  <w:szCs w:val="20"/>
                </w:rPr>
                <w:t>EASTERN EUROPE</w:t>
              </w:r>
            </w:smartTag>
            <w:r>
              <w:rPr>
                <w:rFonts w:ascii="Arial" w:hAnsi="Arial" w:cs="Arial"/>
                <w:b/>
                <w:bCs/>
                <w:sz w:val="20"/>
                <w:szCs w:val="20"/>
              </w:rPr>
              <w:t xml:space="preserve">  </w:t>
            </w:r>
          </w:p>
        </w:tc>
        <w:tc>
          <w:tcPr>
            <w:tcW w:w="1020" w:type="dxa"/>
            <w:tcBorders>
              <w:top w:val="single" w:sz="4" w:space="0" w:color="auto"/>
              <w:left w:val="nil"/>
              <w:bottom w:val="single" w:sz="4" w:space="0" w:color="auto"/>
              <w:right w:val="single" w:sz="4" w:space="0" w:color="auto"/>
            </w:tcBorders>
          </w:tcPr>
          <w:p w:rsidR="00C66DF3" w:rsidRDefault="00C66DF3">
            <w:pPr>
              <w:rPr>
                <w:rFonts w:ascii="Arial" w:hAnsi="Arial" w:cs="Arial"/>
                <w:b/>
                <w:bCs/>
                <w:sz w:val="20"/>
                <w:szCs w:val="20"/>
              </w:rPr>
            </w:pPr>
            <w:smartTag w:uri="urn:schemas-microsoft-com:office:smarttags" w:element="place">
              <w:smartTag w:uri="urn:schemas-microsoft-com:office:smarttags" w:element="country-region">
                <w:r>
                  <w:rPr>
                    <w:rFonts w:ascii="Arial" w:hAnsi="Arial" w:cs="Arial"/>
                    <w:b/>
                    <w:bCs/>
                    <w:sz w:val="20"/>
                    <w:szCs w:val="20"/>
                  </w:rPr>
                  <w:t>Poland</w:t>
                </w:r>
              </w:smartTag>
            </w:smartTag>
          </w:p>
        </w:tc>
        <w:tc>
          <w:tcPr>
            <w:tcW w:w="1020" w:type="dxa"/>
            <w:tcBorders>
              <w:top w:val="single" w:sz="4" w:space="0" w:color="auto"/>
              <w:left w:val="nil"/>
              <w:bottom w:val="single" w:sz="4" w:space="0" w:color="auto"/>
              <w:right w:val="single" w:sz="4" w:space="0" w:color="auto"/>
            </w:tcBorders>
          </w:tcPr>
          <w:p w:rsidR="00C66DF3" w:rsidRDefault="00C66DF3">
            <w:pPr>
              <w:rPr>
                <w:rFonts w:ascii="Arial" w:hAnsi="Arial" w:cs="Arial"/>
                <w:b/>
                <w:bCs/>
                <w:sz w:val="20"/>
                <w:szCs w:val="20"/>
              </w:rPr>
            </w:pPr>
            <w:smartTag w:uri="urn:schemas-microsoft-com:office:smarttags" w:element="place">
              <w:smartTag w:uri="urn:schemas-microsoft-com:office:smarttags" w:element="country-region">
                <w:r>
                  <w:rPr>
                    <w:rFonts w:ascii="Arial" w:hAnsi="Arial" w:cs="Arial"/>
                    <w:b/>
                    <w:bCs/>
                    <w:sz w:val="20"/>
                    <w:szCs w:val="20"/>
                  </w:rPr>
                  <w:t>Japan</w:t>
                </w:r>
              </w:smartTag>
            </w:smartTag>
          </w:p>
        </w:tc>
      </w:tr>
      <w:tr w:rsidR="00C66DF3">
        <w:trPr>
          <w:trHeight w:val="255"/>
        </w:trPr>
        <w:tc>
          <w:tcPr>
            <w:tcW w:w="2380" w:type="dxa"/>
            <w:tcBorders>
              <w:top w:val="single" w:sz="4" w:space="0" w:color="auto"/>
              <w:left w:val="single" w:sz="4" w:space="0" w:color="auto"/>
              <w:bottom w:val="single" w:sz="4" w:space="0" w:color="auto"/>
              <w:right w:val="single" w:sz="4" w:space="0" w:color="auto"/>
            </w:tcBorders>
            <w:noWrap/>
          </w:tcPr>
          <w:p w:rsidR="00C66DF3" w:rsidRDefault="00C66DF3">
            <w:pPr>
              <w:rPr>
                <w:rFonts w:ascii="Arial" w:hAnsi="Arial" w:cs="Arial"/>
                <w:b/>
                <w:bCs/>
                <w:sz w:val="20"/>
                <w:szCs w:val="20"/>
                <w:u w:val="single"/>
              </w:rPr>
            </w:pPr>
            <w:r>
              <w:rPr>
                <w:rFonts w:ascii="Arial" w:hAnsi="Arial" w:cs="Arial"/>
                <w:b/>
                <w:bCs/>
                <w:sz w:val="20"/>
                <w:szCs w:val="20"/>
                <w:u w:val="single"/>
              </w:rPr>
              <w:t>Title</w:t>
            </w:r>
          </w:p>
        </w:tc>
        <w:tc>
          <w:tcPr>
            <w:tcW w:w="1020" w:type="dxa"/>
            <w:tcBorders>
              <w:top w:val="nil"/>
              <w:left w:val="nil"/>
              <w:bottom w:val="single" w:sz="4" w:space="0" w:color="auto"/>
              <w:right w:val="single" w:sz="4" w:space="0" w:color="auto"/>
            </w:tcBorders>
            <w:noWrap/>
          </w:tcPr>
          <w:p w:rsidR="00C66DF3" w:rsidRDefault="00C66DF3">
            <w:pPr>
              <w:jc w:val="center"/>
              <w:rPr>
                <w:rFonts w:ascii="Arial" w:hAnsi="Arial" w:cs="Arial"/>
                <w:b/>
                <w:bCs/>
                <w:sz w:val="20"/>
                <w:szCs w:val="20"/>
              </w:rPr>
            </w:pPr>
            <w:r>
              <w:rPr>
                <w:rFonts w:ascii="Arial" w:hAnsi="Arial" w:cs="Arial"/>
                <w:b/>
                <w:bCs/>
                <w:sz w:val="20"/>
                <w:szCs w:val="20"/>
              </w:rPr>
              <w:t>Free TV</w:t>
            </w:r>
          </w:p>
        </w:tc>
        <w:tc>
          <w:tcPr>
            <w:tcW w:w="1020" w:type="dxa"/>
            <w:tcBorders>
              <w:top w:val="nil"/>
              <w:left w:val="nil"/>
              <w:bottom w:val="single" w:sz="4" w:space="0" w:color="auto"/>
              <w:right w:val="single" w:sz="4" w:space="0" w:color="auto"/>
            </w:tcBorders>
            <w:noWrap/>
          </w:tcPr>
          <w:p w:rsidR="00C66DF3" w:rsidRDefault="00C66DF3">
            <w:pPr>
              <w:jc w:val="center"/>
              <w:rPr>
                <w:rFonts w:ascii="Arial" w:hAnsi="Arial" w:cs="Arial"/>
                <w:b/>
                <w:bCs/>
                <w:sz w:val="20"/>
                <w:szCs w:val="20"/>
              </w:rPr>
            </w:pPr>
            <w:r>
              <w:rPr>
                <w:rFonts w:ascii="Arial" w:hAnsi="Arial" w:cs="Arial"/>
                <w:b/>
                <w:bCs/>
                <w:sz w:val="20"/>
                <w:szCs w:val="20"/>
              </w:rPr>
              <w:t>Free TV</w:t>
            </w:r>
          </w:p>
        </w:tc>
        <w:tc>
          <w:tcPr>
            <w:tcW w:w="1020" w:type="dxa"/>
            <w:tcBorders>
              <w:top w:val="nil"/>
              <w:left w:val="nil"/>
              <w:bottom w:val="single" w:sz="4" w:space="0" w:color="auto"/>
              <w:right w:val="single" w:sz="4" w:space="0" w:color="auto"/>
            </w:tcBorders>
            <w:noWrap/>
          </w:tcPr>
          <w:p w:rsidR="00C66DF3" w:rsidRDefault="00C66DF3">
            <w:pPr>
              <w:jc w:val="center"/>
              <w:rPr>
                <w:rFonts w:ascii="Arial" w:hAnsi="Arial" w:cs="Arial"/>
                <w:b/>
                <w:bCs/>
                <w:sz w:val="20"/>
                <w:szCs w:val="20"/>
              </w:rPr>
            </w:pPr>
            <w:r>
              <w:rPr>
                <w:rFonts w:ascii="Arial" w:hAnsi="Arial" w:cs="Arial"/>
                <w:b/>
                <w:bCs/>
                <w:sz w:val="20"/>
                <w:szCs w:val="20"/>
              </w:rPr>
              <w:t>Free TV</w:t>
            </w:r>
          </w:p>
        </w:tc>
        <w:tc>
          <w:tcPr>
            <w:tcW w:w="1020" w:type="dxa"/>
            <w:tcBorders>
              <w:top w:val="nil"/>
              <w:left w:val="nil"/>
              <w:bottom w:val="single" w:sz="4" w:space="0" w:color="auto"/>
              <w:right w:val="single" w:sz="4" w:space="0" w:color="auto"/>
            </w:tcBorders>
            <w:noWrap/>
          </w:tcPr>
          <w:p w:rsidR="00C66DF3" w:rsidRDefault="00C66DF3">
            <w:pPr>
              <w:jc w:val="center"/>
              <w:rPr>
                <w:rFonts w:ascii="Arial" w:hAnsi="Arial" w:cs="Arial"/>
                <w:b/>
                <w:bCs/>
                <w:sz w:val="20"/>
                <w:szCs w:val="20"/>
              </w:rPr>
            </w:pPr>
            <w:r>
              <w:rPr>
                <w:rFonts w:ascii="Arial" w:hAnsi="Arial" w:cs="Arial"/>
                <w:b/>
                <w:bCs/>
                <w:sz w:val="20"/>
                <w:szCs w:val="20"/>
              </w:rPr>
              <w:t>Free TV</w:t>
            </w:r>
          </w:p>
        </w:tc>
        <w:tc>
          <w:tcPr>
            <w:tcW w:w="1020" w:type="dxa"/>
            <w:tcBorders>
              <w:top w:val="nil"/>
              <w:left w:val="nil"/>
              <w:bottom w:val="single" w:sz="4" w:space="0" w:color="auto"/>
              <w:right w:val="single" w:sz="4" w:space="0" w:color="auto"/>
            </w:tcBorders>
            <w:noWrap/>
          </w:tcPr>
          <w:p w:rsidR="00C66DF3" w:rsidRDefault="00C66DF3">
            <w:pPr>
              <w:jc w:val="center"/>
              <w:rPr>
                <w:rFonts w:ascii="Arial" w:hAnsi="Arial" w:cs="Arial"/>
                <w:b/>
                <w:bCs/>
                <w:sz w:val="20"/>
                <w:szCs w:val="20"/>
              </w:rPr>
            </w:pPr>
            <w:r>
              <w:rPr>
                <w:rFonts w:ascii="Arial" w:hAnsi="Arial" w:cs="Arial"/>
                <w:b/>
                <w:bCs/>
                <w:sz w:val="20"/>
                <w:szCs w:val="20"/>
              </w:rPr>
              <w:t>Free TV</w:t>
            </w:r>
          </w:p>
        </w:tc>
        <w:tc>
          <w:tcPr>
            <w:tcW w:w="1020" w:type="dxa"/>
            <w:tcBorders>
              <w:top w:val="nil"/>
              <w:left w:val="nil"/>
              <w:bottom w:val="single" w:sz="4" w:space="0" w:color="auto"/>
              <w:right w:val="single" w:sz="4" w:space="0" w:color="auto"/>
            </w:tcBorders>
            <w:noWrap/>
          </w:tcPr>
          <w:p w:rsidR="00C66DF3" w:rsidRDefault="00C66DF3">
            <w:pPr>
              <w:jc w:val="center"/>
              <w:rPr>
                <w:rFonts w:ascii="Arial" w:hAnsi="Arial" w:cs="Arial"/>
                <w:b/>
                <w:bCs/>
                <w:sz w:val="20"/>
                <w:szCs w:val="20"/>
              </w:rPr>
            </w:pPr>
            <w:r>
              <w:rPr>
                <w:rFonts w:ascii="Arial" w:hAnsi="Arial" w:cs="Arial"/>
                <w:b/>
                <w:bCs/>
                <w:sz w:val="20"/>
                <w:szCs w:val="20"/>
              </w:rPr>
              <w:t>Free TV</w:t>
            </w:r>
          </w:p>
        </w:tc>
        <w:tc>
          <w:tcPr>
            <w:tcW w:w="1020" w:type="dxa"/>
            <w:tcBorders>
              <w:top w:val="nil"/>
              <w:left w:val="nil"/>
              <w:bottom w:val="single" w:sz="4" w:space="0" w:color="auto"/>
              <w:right w:val="single" w:sz="4" w:space="0" w:color="auto"/>
            </w:tcBorders>
            <w:noWrap/>
          </w:tcPr>
          <w:p w:rsidR="00C66DF3" w:rsidRDefault="00C66DF3">
            <w:pPr>
              <w:jc w:val="center"/>
              <w:rPr>
                <w:rFonts w:ascii="Arial" w:hAnsi="Arial" w:cs="Arial"/>
                <w:b/>
                <w:bCs/>
                <w:sz w:val="20"/>
                <w:szCs w:val="20"/>
              </w:rPr>
            </w:pPr>
            <w:r>
              <w:rPr>
                <w:rFonts w:ascii="Arial" w:hAnsi="Arial" w:cs="Arial"/>
                <w:b/>
                <w:bCs/>
                <w:sz w:val="20"/>
                <w:szCs w:val="20"/>
              </w:rPr>
              <w:t>Free TV</w:t>
            </w:r>
          </w:p>
        </w:tc>
        <w:tc>
          <w:tcPr>
            <w:tcW w:w="1020" w:type="dxa"/>
            <w:tcBorders>
              <w:top w:val="nil"/>
              <w:left w:val="nil"/>
              <w:bottom w:val="single" w:sz="4" w:space="0" w:color="auto"/>
              <w:right w:val="single" w:sz="4" w:space="0" w:color="auto"/>
            </w:tcBorders>
            <w:noWrap/>
          </w:tcPr>
          <w:p w:rsidR="00C66DF3" w:rsidRDefault="00C66DF3">
            <w:pPr>
              <w:jc w:val="center"/>
              <w:rPr>
                <w:rFonts w:ascii="Arial" w:hAnsi="Arial" w:cs="Arial"/>
                <w:b/>
                <w:bCs/>
                <w:sz w:val="20"/>
                <w:szCs w:val="20"/>
              </w:rPr>
            </w:pPr>
            <w:r>
              <w:rPr>
                <w:rFonts w:ascii="Arial" w:hAnsi="Arial" w:cs="Arial"/>
                <w:b/>
                <w:bCs/>
                <w:sz w:val="20"/>
                <w:szCs w:val="20"/>
              </w:rPr>
              <w:t>Free TV</w:t>
            </w:r>
          </w:p>
        </w:tc>
        <w:tc>
          <w:tcPr>
            <w:tcW w:w="1020" w:type="dxa"/>
            <w:tcBorders>
              <w:top w:val="nil"/>
              <w:left w:val="nil"/>
              <w:bottom w:val="single" w:sz="4" w:space="0" w:color="auto"/>
              <w:right w:val="single" w:sz="4" w:space="0" w:color="auto"/>
            </w:tcBorders>
            <w:noWrap/>
          </w:tcPr>
          <w:p w:rsidR="00C66DF3" w:rsidRDefault="00C66DF3">
            <w:pPr>
              <w:jc w:val="center"/>
              <w:rPr>
                <w:rFonts w:ascii="Arial" w:hAnsi="Arial" w:cs="Arial"/>
                <w:b/>
                <w:bCs/>
                <w:sz w:val="20"/>
                <w:szCs w:val="20"/>
              </w:rPr>
            </w:pPr>
            <w:r>
              <w:rPr>
                <w:rFonts w:ascii="Arial" w:hAnsi="Arial" w:cs="Arial"/>
                <w:b/>
                <w:bCs/>
                <w:sz w:val="20"/>
                <w:szCs w:val="20"/>
              </w:rPr>
              <w:t>Free TV</w:t>
            </w:r>
          </w:p>
        </w:tc>
      </w:tr>
      <w:tr w:rsidR="00C66DF3">
        <w:trPr>
          <w:trHeight w:val="510"/>
        </w:trPr>
        <w:tc>
          <w:tcPr>
            <w:tcW w:w="2380" w:type="dxa"/>
            <w:tcBorders>
              <w:top w:val="nil"/>
              <w:left w:val="single" w:sz="4" w:space="0" w:color="auto"/>
              <w:bottom w:val="single" w:sz="4" w:space="0" w:color="auto"/>
              <w:right w:val="single" w:sz="4" w:space="0" w:color="auto"/>
            </w:tcBorders>
          </w:tcPr>
          <w:p w:rsidR="00C66DF3" w:rsidRDefault="00C66DF3">
            <w:pPr>
              <w:rPr>
                <w:rFonts w:ascii="Arial" w:hAnsi="Arial" w:cs="Arial"/>
                <w:b/>
                <w:bCs/>
                <w:sz w:val="20"/>
                <w:szCs w:val="20"/>
              </w:rPr>
            </w:pPr>
            <w:r>
              <w:rPr>
                <w:rFonts w:ascii="Arial" w:hAnsi="Arial" w:cs="Arial"/>
                <w:b/>
                <w:bCs/>
                <w:sz w:val="20"/>
                <w:szCs w:val="20"/>
              </w:rPr>
              <w:t xml:space="preserve">Dancing Around </w:t>
            </w:r>
            <w:proofErr w:type="gramStart"/>
            <w:r>
              <w:rPr>
                <w:rFonts w:ascii="Arial" w:hAnsi="Arial" w:cs="Arial"/>
                <w:b/>
                <w:bCs/>
                <w:sz w:val="20"/>
                <w:szCs w:val="20"/>
              </w:rPr>
              <w:t>The</w:t>
            </w:r>
            <w:proofErr w:type="gramEnd"/>
            <w:r>
              <w:rPr>
                <w:rFonts w:ascii="Arial" w:hAnsi="Arial" w:cs="Arial"/>
                <w:b/>
                <w:bCs/>
                <w:sz w:val="20"/>
                <w:szCs w:val="20"/>
              </w:rPr>
              <w:t xml:space="preserve"> Maypole</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r>
              <w:rPr>
                <w:rFonts w:ascii="Arial Narrow" w:hAnsi="Arial Narrow" w:cs="Arial"/>
                <w:sz w:val="20"/>
                <w:szCs w:val="20"/>
              </w:rPr>
              <w:t>SOLD</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r>
              <w:rPr>
                <w:rFonts w:ascii="Arial Narrow" w:hAnsi="Arial Narrow" w:cs="Arial"/>
                <w:sz w:val="20"/>
                <w:szCs w:val="20"/>
              </w:rPr>
              <w:t>SOLD</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smartTag w:uri="urn:schemas-microsoft-com:office:smarttags" w:element="date">
              <w:smartTagPr>
                <w:attr w:name="Month" w:val="1"/>
                <w:attr w:name="Day" w:val="12"/>
                <w:attr w:name="Year" w:val="2014"/>
              </w:smartTagPr>
              <w:r>
                <w:rPr>
                  <w:rFonts w:ascii="Arial Narrow" w:hAnsi="Arial Narrow" w:cs="Arial"/>
                  <w:sz w:val="20"/>
                  <w:szCs w:val="20"/>
                </w:rPr>
                <w:t>12-Jan-2014</w:t>
              </w:r>
            </w:smartTag>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r>
              <w:rPr>
                <w:rFonts w:ascii="Arial Narrow" w:hAnsi="Arial Narrow" w:cs="Arial"/>
                <w:sz w:val="20"/>
                <w:szCs w:val="20"/>
              </w:rPr>
              <w:t>SOLD</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r>
              <w:rPr>
                <w:rFonts w:ascii="Arial Narrow" w:hAnsi="Arial Narrow" w:cs="Arial"/>
                <w:sz w:val="20"/>
                <w:szCs w:val="20"/>
              </w:rPr>
              <w:t>SOLD</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r>
      <w:tr w:rsidR="00C66DF3">
        <w:trPr>
          <w:trHeight w:val="255"/>
        </w:trPr>
        <w:tc>
          <w:tcPr>
            <w:tcW w:w="2380" w:type="dxa"/>
            <w:tcBorders>
              <w:top w:val="nil"/>
              <w:left w:val="single" w:sz="4" w:space="0" w:color="auto"/>
              <w:bottom w:val="single" w:sz="4" w:space="0" w:color="auto"/>
              <w:right w:val="single" w:sz="4" w:space="0" w:color="auto"/>
            </w:tcBorders>
          </w:tcPr>
          <w:p w:rsidR="00C66DF3" w:rsidRDefault="00C66DF3">
            <w:pPr>
              <w:rPr>
                <w:rFonts w:ascii="Arial" w:hAnsi="Arial" w:cs="Arial"/>
                <w:b/>
                <w:bCs/>
                <w:sz w:val="20"/>
                <w:szCs w:val="20"/>
              </w:rPr>
            </w:pPr>
            <w:smartTag w:uri="urn:schemas-microsoft-com:office:smarttags" w:element="place">
              <w:smartTag w:uri="urn:schemas-microsoft-com:office:smarttags" w:element="PlaceName">
                <w:r>
                  <w:rPr>
                    <w:rFonts w:ascii="Arial" w:hAnsi="Arial" w:cs="Arial"/>
                    <w:b/>
                    <w:bCs/>
                    <w:sz w:val="20"/>
                    <w:szCs w:val="20"/>
                  </w:rPr>
                  <w:t>Hope</w:t>
                </w:r>
              </w:smartTag>
              <w:r>
                <w:rPr>
                  <w:rFonts w:ascii="Arial" w:hAnsi="Arial" w:cs="Arial"/>
                  <w:b/>
                  <w:bCs/>
                  <w:sz w:val="20"/>
                  <w:szCs w:val="20"/>
                </w:rPr>
                <w:t xml:space="preserve"> </w:t>
              </w:r>
              <w:smartTag w:uri="urn:schemas-microsoft-com:office:smarttags" w:element="PlaceName">
                <w:r>
                  <w:rPr>
                    <w:rFonts w:ascii="Arial" w:hAnsi="Arial" w:cs="Arial"/>
                    <w:b/>
                    <w:bCs/>
                    <w:sz w:val="20"/>
                    <w:szCs w:val="20"/>
                  </w:rPr>
                  <w:t>Springs</w:t>
                </w:r>
              </w:smartTag>
            </w:smartTag>
            <w:r>
              <w:rPr>
                <w:rFonts w:ascii="Arial" w:hAnsi="Arial" w:cs="Arial"/>
                <w:b/>
                <w:bCs/>
                <w:sz w:val="20"/>
                <w:szCs w:val="20"/>
              </w:rPr>
              <w:t xml:space="preserve"> Eternal</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r>
              <w:rPr>
                <w:rFonts w:ascii="Arial Narrow" w:hAnsi="Arial Narrow" w:cs="Arial"/>
                <w:sz w:val="20"/>
                <w:szCs w:val="20"/>
              </w:rPr>
              <w:t>SOLD</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r>
              <w:rPr>
                <w:rFonts w:ascii="Arial Narrow" w:hAnsi="Arial Narrow" w:cs="Arial"/>
                <w:sz w:val="20"/>
                <w:szCs w:val="20"/>
              </w:rPr>
              <w:t>SOLD</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r>
              <w:rPr>
                <w:rFonts w:ascii="Arial Narrow" w:hAnsi="Arial Narrow" w:cs="Arial"/>
                <w:sz w:val="20"/>
                <w:szCs w:val="20"/>
              </w:rPr>
              <w:t>SOLD</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r>
              <w:rPr>
                <w:rFonts w:ascii="Arial Narrow" w:hAnsi="Arial Narrow" w:cs="Arial"/>
                <w:sz w:val="20"/>
                <w:szCs w:val="20"/>
              </w:rPr>
              <w:t>SOLD</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r>
              <w:rPr>
                <w:rFonts w:ascii="Arial Narrow" w:hAnsi="Arial Narrow" w:cs="Arial"/>
                <w:sz w:val="20"/>
                <w:szCs w:val="20"/>
              </w:rPr>
              <w:t>SOLD</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r>
              <w:rPr>
                <w:rFonts w:ascii="Arial Narrow" w:hAnsi="Arial Narrow" w:cs="Arial"/>
                <w:sz w:val="20"/>
                <w:szCs w:val="20"/>
              </w:rPr>
              <w:t>SOLD</w:t>
            </w:r>
          </w:p>
        </w:tc>
        <w:tc>
          <w:tcPr>
            <w:tcW w:w="1020" w:type="dxa"/>
            <w:tcBorders>
              <w:top w:val="nil"/>
              <w:left w:val="nil"/>
              <w:bottom w:val="single" w:sz="4" w:space="0" w:color="auto"/>
              <w:right w:val="single" w:sz="4" w:space="0" w:color="auto"/>
            </w:tcBorders>
            <w:shd w:val="clear" w:color="auto" w:fill="33CCCC"/>
          </w:tcPr>
          <w:p w:rsidR="00C66DF3" w:rsidRDefault="00C66DF3">
            <w:pPr>
              <w:jc w:val="center"/>
              <w:rPr>
                <w:rFonts w:ascii="Arial Narrow" w:hAnsi="Arial Narrow" w:cs="Arial"/>
                <w:sz w:val="20"/>
                <w:szCs w:val="20"/>
              </w:rPr>
            </w:pPr>
            <w:r>
              <w:rPr>
                <w:rFonts w:ascii="Arial Narrow" w:hAnsi="Arial Narrow" w:cs="Arial"/>
                <w:sz w:val="20"/>
                <w:szCs w:val="20"/>
              </w:rPr>
              <w:t>RESALE1</w:t>
            </w:r>
          </w:p>
        </w:tc>
        <w:tc>
          <w:tcPr>
            <w:tcW w:w="1020" w:type="dxa"/>
            <w:tcBorders>
              <w:top w:val="nil"/>
              <w:left w:val="nil"/>
              <w:bottom w:val="single" w:sz="4" w:space="0" w:color="auto"/>
              <w:right w:val="single" w:sz="4" w:space="0" w:color="auto"/>
            </w:tcBorders>
            <w:shd w:val="clear" w:color="auto" w:fill="33CCCC"/>
          </w:tcPr>
          <w:p w:rsidR="00C66DF3" w:rsidRDefault="00C66DF3">
            <w:pPr>
              <w:jc w:val="center"/>
              <w:rPr>
                <w:rFonts w:ascii="Arial Narrow" w:hAnsi="Arial Narrow" w:cs="Arial"/>
                <w:sz w:val="20"/>
                <w:szCs w:val="20"/>
              </w:rPr>
            </w:pPr>
            <w:r>
              <w:rPr>
                <w:rFonts w:ascii="Arial Narrow" w:hAnsi="Arial Narrow" w:cs="Arial"/>
                <w:sz w:val="20"/>
                <w:szCs w:val="20"/>
              </w:rPr>
              <w:t>RESALE1</w:t>
            </w:r>
          </w:p>
        </w:tc>
        <w:tc>
          <w:tcPr>
            <w:tcW w:w="1020" w:type="dxa"/>
            <w:tcBorders>
              <w:top w:val="nil"/>
              <w:left w:val="nil"/>
              <w:bottom w:val="single" w:sz="4" w:space="0" w:color="auto"/>
              <w:right w:val="single" w:sz="4" w:space="0" w:color="auto"/>
            </w:tcBorders>
            <w:shd w:val="clear" w:color="auto" w:fill="33CCCC"/>
          </w:tcPr>
          <w:p w:rsidR="00C66DF3" w:rsidRDefault="00C66DF3">
            <w:pPr>
              <w:jc w:val="center"/>
              <w:rPr>
                <w:rFonts w:ascii="Arial Narrow" w:hAnsi="Arial Narrow" w:cs="Arial"/>
                <w:sz w:val="20"/>
                <w:szCs w:val="20"/>
              </w:rPr>
            </w:pPr>
            <w:r>
              <w:rPr>
                <w:rFonts w:ascii="Arial Narrow" w:hAnsi="Arial Narrow" w:cs="Arial"/>
                <w:sz w:val="20"/>
                <w:szCs w:val="20"/>
              </w:rPr>
              <w:t>RESALE1</w:t>
            </w:r>
          </w:p>
        </w:tc>
      </w:tr>
      <w:tr w:rsidR="00C66DF3">
        <w:trPr>
          <w:trHeight w:val="510"/>
        </w:trPr>
        <w:tc>
          <w:tcPr>
            <w:tcW w:w="2380" w:type="dxa"/>
            <w:tcBorders>
              <w:top w:val="nil"/>
              <w:left w:val="single" w:sz="4" w:space="0" w:color="auto"/>
              <w:bottom w:val="single" w:sz="4" w:space="0" w:color="auto"/>
              <w:right w:val="single" w:sz="4" w:space="0" w:color="auto"/>
            </w:tcBorders>
          </w:tcPr>
          <w:p w:rsidR="00C66DF3" w:rsidRDefault="00C66DF3">
            <w:pPr>
              <w:rPr>
                <w:rFonts w:ascii="Arial" w:hAnsi="Arial" w:cs="Arial"/>
                <w:b/>
                <w:bCs/>
                <w:sz w:val="20"/>
                <w:szCs w:val="20"/>
              </w:rPr>
            </w:pPr>
            <w:r>
              <w:rPr>
                <w:rFonts w:ascii="Arial" w:hAnsi="Arial" w:cs="Arial"/>
                <w:b/>
                <w:bCs/>
                <w:sz w:val="20"/>
                <w:szCs w:val="20"/>
              </w:rPr>
              <w:t>Immortal Bird</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 &amp; RESALE1</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 &amp; RESALE1</w:t>
            </w:r>
          </w:p>
        </w:tc>
        <w:tc>
          <w:tcPr>
            <w:tcW w:w="1020" w:type="dxa"/>
            <w:tcBorders>
              <w:top w:val="nil"/>
              <w:left w:val="nil"/>
              <w:bottom w:val="single" w:sz="4" w:space="0" w:color="auto"/>
              <w:right w:val="single" w:sz="4" w:space="0" w:color="auto"/>
            </w:tcBorders>
            <w:shd w:val="clear" w:color="auto" w:fill="33CCCC"/>
          </w:tcPr>
          <w:p w:rsidR="00C66DF3" w:rsidRDefault="00C66DF3">
            <w:pPr>
              <w:jc w:val="center"/>
              <w:rPr>
                <w:rFonts w:ascii="Arial Narrow" w:hAnsi="Arial Narrow" w:cs="Arial"/>
                <w:sz w:val="20"/>
                <w:szCs w:val="20"/>
              </w:rPr>
            </w:pPr>
            <w:r>
              <w:rPr>
                <w:rFonts w:ascii="Arial Narrow" w:hAnsi="Arial Narrow" w:cs="Arial"/>
                <w:sz w:val="20"/>
                <w:szCs w:val="20"/>
              </w:rPr>
              <w:t>RESALE1</w:t>
            </w:r>
          </w:p>
        </w:tc>
      </w:tr>
      <w:tr w:rsidR="00C66DF3">
        <w:trPr>
          <w:trHeight w:val="255"/>
        </w:trPr>
        <w:tc>
          <w:tcPr>
            <w:tcW w:w="2380" w:type="dxa"/>
            <w:tcBorders>
              <w:top w:val="nil"/>
              <w:left w:val="single" w:sz="4" w:space="0" w:color="auto"/>
              <w:bottom w:val="single" w:sz="4" w:space="0" w:color="auto"/>
              <w:right w:val="single" w:sz="4" w:space="0" w:color="auto"/>
            </w:tcBorders>
          </w:tcPr>
          <w:p w:rsidR="00C66DF3" w:rsidRDefault="00C66DF3">
            <w:pPr>
              <w:rPr>
                <w:rFonts w:ascii="Arial" w:hAnsi="Arial" w:cs="Arial"/>
                <w:b/>
                <w:bCs/>
                <w:sz w:val="20"/>
                <w:szCs w:val="20"/>
              </w:rPr>
            </w:pPr>
            <w:r>
              <w:rPr>
                <w:rFonts w:ascii="Arial" w:hAnsi="Arial" w:cs="Arial"/>
                <w:b/>
                <w:bCs/>
                <w:sz w:val="20"/>
                <w:szCs w:val="20"/>
              </w:rPr>
              <w:t>The Long Age</w:t>
            </w:r>
          </w:p>
        </w:tc>
        <w:tc>
          <w:tcPr>
            <w:tcW w:w="1020" w:type="dxa"/>
            <w:tcBorders>
              <w:top w:val="nil"/>
              <w:left w:val="nil"/>
              <w:bottom w:val="single" w:sz="4" w:space="0" w:color="auto"/>
              <w:right w:val="single" w:sz="4" w:space="0" w:color="auto"/>
            </w:tcBorders>
            <w:shd w:val="clear" w:color="auto" w:fill="FF0000"/>
          </w:tcPr>
          <w:p w:rsidR="00C66DF3" w:rsidRDefault="00C66DF3">
            <w:pPr>
              <w:jc w:val="center"/>
              <w:rPr>
                <w:rFonts w:ascii="Arial Narrow" w:hAnsi="Arial Narrow" w:cs="Arial"/>
                <w:sz w:val="20"/>
                <w:szCs w:val="20"/>
              </w:rPr>
            </w:pPr>
            <w:r>
              <w:rPr>
                <w:rFonts w:ascii="Arial Narrow" w:hAnsi="Arial Narrow" w:cs="Arial"/>
                <w:sz w:val="20"/>
                <w:szCs w:val="20"/>
              </w:rPr>
              <w:t>*No Rights*</w:t>
            </w:r>
          </w:p>
        </w:tc>
        <w:tc>
          <w:tcPr>
            <w:tcW w:w="1020" w:type="dxa"/>
            <w:tcBorders>
              <w:top w:val="nil"/>
              <w:left w:val="nil"/>
              <w:bottom w:val="single" w:sz="4" w:space="0" w:color="auto"/>
              <w:right w:val="single" w:sz="4" w:space="0" w:color="auto"/>
            </w:tcBorders>
            <w:shd w:val="clear" w:color="auto" w:fill="FF0000"/>
          </w:tcPr>
          <w:p w:rsidR="00C66DF3" w:rsidRDefault="00C66DF3">
            <w:pPr>
              <w:jc w:val="center"/>
              <w:rPr>
                <w:rFonts w:ascii="Arial Narrow" w:hAnsi="Arial Narrow" w:cs="Arial"/>
                <w:sz w:val="20"/>
                <w:szCs w:val="20"/>
              </w:rPr>
            </w:pPr>
            <w:r>
              <w:rPr>
                <w:rFonts w:ascii="Arial Narrow" w:hAnsi="Arial Narrow" w:cs="Arial"/>
                <w:sz w:val="20"/>
                <w:szCs w:val="20"/>
              </w:rPr>
              <w:t>*No Rights*</w:t>
            </w:r>
          </w:p>
        </w:tc>
        <w:tc>
          <w:tcPr>
            <w:tcW w:w="1020" w:type="dxa"/>
            <w:tcBorders>
              <w:top w:val="nil"/>
              <w:left w:val="nil"/>
              <w:bottom w:val="single" w:sz="4" w:space="0" w:color="auto"/>
              <w:right w:val="single" w:sz="4" w:space="0" w:color="auto"/>
            </w:tcBorders>
            <w:shd w:val="clear" w:color="auto" w:fill="FF0000"/>
          </w:tcPr>
          <w:p w:rsidR="00C66DF3" w:rsidRDefault="00C66DF3">
            <w:pPr>
              <w:jc w:val="center"/>
              <w:rPr>
                <w:rFonts w:ascii="Arial Narrow" w:hAnsi="Arial Narrow" w:cs="Arial"/>
                <w:sz w:val="20"/>
                <w:szCs w:val="20"/>
              </w:rPr>
            </w:pPr>
            <w:r>
              <w:rPr>
                <w:rFonts w:ascii="Arial Narrow" w:hAnsi="Arial Narrow" w:cs="Arial"/>
                <w:sz w:val="20"/>
                <w:szCs w:val="20"/>
              </w:rPr>
              <w:t>*No Rights*</w:t>
            </w:r>
          </w:p>
        </w:tc>
        <w:tc>
          <w:tcPr>
            <w:tcW w:w="1020" w:type="dxa"/>
            <w:tcBorders>
              <w:top w:val="nil"/>
              <w:left w:val="nil"/>
              <w:bottom w:val="single" w:sz="4" w:space="0" w:color="auto"/>
              <w:right w:val="single" w:sz="4" w:space="0" w:color="auto"/>
            </w:tcBorders>
            <w:shd w:val="clear" w:color="auto" w:fill="FF0000"/>
          </w:tcPr>
          <w:p w:rsidR="00C66DF3" w:rsidRDefault="00C66DF3">
            <w:pPr>
              <w:jc w:val="center"/>
              <w:rPr>
                <w:rFonts w:ascii="Arial Narrow" w:hAnsi="Arial Narrow" w:cs="Arial"/>
                <w:sz w:val="20"/>
                <w:szCs w:val="20"/>
              </w:rPr>
            </w:pPr>
            <w:r>
              <w:rPr>
                <w:rFonts w:ascii="Arial Narrow" w:hAnsi="Arial Narrow" w:cs="Arial"/>
                <w:sz w:val="20"/>
                <w:szCs w:val="20"/>
              </w:rPr>
              <w:t>*No Rights*</w:t>
            </w:r>
          </w:p>
        </w:tc>
        <w:tc>
          <w:tcPr>
            <w:tcW w:w="1020" w:type="dxa"/>
            <w:tcBorders>
              <w:top w:val="nil"/>
              <w:left w:val="nil"/>
              <w:bottom w:val="single" w:sz="4" w:space="0" w:color="auto"/>
              <w:right w:val="single" w:sz="4" w:space="0" w:color="auto"/>
            </w:tcBorders>
            <w:shd w:val="clear" w:color="auto" w:fill="FF0000"/>
          </w:tcPr>
          <w:p w:rsidR="00C66DF3" w:rsidRDefault="00C66DF3">
            <w:pPr>
              <w:jc w:val="center"/>
              <w:rPr>
                <w:rFonts w:ascii="Arial Narrow" w:hAnsi="Arial Narrow" w:cs="Arial"/>
                <w:sz w:val="20"/>
                <w:szCs w:val="20"/>
              </w:rPr>
            </w:pPr>
            <w:r>
              <w:rPr>
                <w:rFonts w:ascii="Arial Narrow" w:hAnsi="Arial Narrow" w:cs="Arial"/>
                <w:sz w:val="20"/>
                <w:szCs w:val="20"/>
              </w:rPr>
              <w:t>*No Rights*</w:t>
            </w:r>
          </w:p>
        </w:tc>
        <w:tc>
          <w:tcPr>
            <w:tcW w:w="1020" w:type="dxa"/>
            <w:tcBorders>
              <w:top w:val="nil"/>
              <w:left w:val="nil"/>
              <w:bottom w:val="single" w:sz="4" w:space="0" w:color="auto"/>
              <w:right w:val="single" w:sz="4" w:space="0" w:color="auto"/>
            </w:tcBorders>
            <w:shd w:val="clear" w:color="auto" w:fill="FF0000"/>
          </w:tcPr>
          <w:p w:rsidR="00C66DF3" w:rsidRDefault="00C66DF3">
            <w:pPr>
              <w:jc w:val="center"/>
              <w:rPr>
                <w:rFonts w:ascii="Arial Narrow" w:hAnsi="Arial Narrow" w:cs="Arial"/>
                <w:sz w:val="20"/>
                <w:szCs w:val="20"/>
              </w:rPr>
            </w:pPr>
            <w:r>
              <w:rPr>
                <w:rFonts w:ascii="Arial Narrow" w:hAnsi="Arial Narrow" w:cs="Arial"/>
                <w:sz w:val="20"/>
                <w:szCs w:val="20"/>
              </w:rPr>
              <w:t>*No Rights*</w:t>
            </w:r>
          </w:p>
        </w:tc>
        <w:tc>
          <w:tcPr>
            <w:tcW w:w="1020" w:type="dxa"/>
            <w:tcBorders>
              <w:top w:val="nil"/>
              <w:left w:val="nil"/>
              <w:bottom w:val="single" w:sz="4" w:space="0" w:color="auto"/>
              <w:right w:val="single" w:sz="4" w:space="0" w:color="auto"/>
            </w:tcBorders>
            <w:shd w:val="clear" w:color="auto" w:fill="FF0000"/>
          </w:tcPr>
          <w:p w:rsidR="00C66DF3" w:rsidRDefault="00C66DF3">
            <w:pPr>
              <w:jc w:val="center"/>
              <w:rPr>
                <w:rFonts w:ascii="Arial Narrow" w:hAnsi="Arial Narrow" w:cs="Arial"/>
                <w:sz w:val="20"/>
                <w:szCs w:val="20"/>
              </w:rPr>
            </w:pPr>
            <w:r>
              <w:rPr>
                <w:rFonts w:ascii="Arial Narrow" w:hAnsi="Arial Narrow" w:cs="Arial"/>
                <w:sz w:val="20"/>
                <w:szCs w:val="20"/>
              </w:rPr>
              <w:t>*No Rights*</w:t>
            </w:r>
          </w:p>
        </w:tc>
        <w:tc>
          <w:tcPr>
            <w:tcW w:w="1020" w:type="dxa"/>
            <w:tcBorders>
              <w:top w:val="nil"/>
              <w:left w:val="nil"/>
              <w:bottom w:val="single" w:sz="4" w:space="0" w:color="auto"/>
              <w:right w:val="single" w:sz="4" w:space="0" w:color="auto"/>
            </w:tcBorders>
            <w:shd w:val="clear" w:color="auto" w:fill="FF0000"/>
          </w:tcPr>
          <w:p w:rsidR="00C66DF3" w:rsidRDefault="00C66DF3">
            <w:pPr>
              <w:jc w:val="center"/>
              <w:rPr>
                <w:rFonts w:ascii="Arial Narrow" w:hAnsi="Arial Narrow" w:cs="Arial"/>
                <w:sz w:val="20"/>
                <w:szCs w:val="20"/>
              </w:rPr>
            </w:pPr>
            <w:r>
              <w:rPr>
                <w:rFonts w:ascii="Arial Narrow" w:hAnsi="Arial Narrow" w:cs="Arial"/>
                <w:sz w:val="20"/>
                <w:szCs w:val="20"/>
              </w:rPr>
              <w:t>*No Rights*</w:t>
            </w:r>
          </w:p>
        </w:tc>
        <w:tc>
          <w:tcPr>
            <w:tcW w:w="1020" w:type="dxa"/>
            <w:tcBorders>
              <w:top w:val="nil"/>
              <w:left w:val="nil"/>
              <w:bottom w:val="single" w:sz="4" w:space="0" w:color="auto"/>
              <w:right w:val="single" w:sz="4" w:space="0" w:color="auto"/>
            </w:tcBorders>
            <w:shd w:val="clear" w:color="auto" w:fill="FF0000"/>
          </w:tcPr>
          <w:p w:rsidR="00C66DF3" w:rsidRDefault="00C66DF3">
            <w:pPr>
              <w:jc w:val="center"/>
              <w:rPr>
                <w:rFonts w:ascii="Arial Narrow" w:hAnsi="Arial Narrow" w:cs="Arial"/>
                <w:sz w:val="20"/>
                <w:szCs w:val="20"/>
              </w:rPr>
            </w:pPr>
            <w:r>
              <w:rPr>
                <w:rFonts w:ascii="Arial Narrow" w:hAnsi="Arial Narrow" w:cs="Arial"/>
                <w:sz w:val="20"/>
                <w:szCs w:val="20"/>
              </w:rPr>
              <w:t>*No Rights*</w:t>
            </w:r>
          </w:p>
        </w:tc>
      </w:tr>
      <w:tr w:rsidR="00C66DF3">
        <w:trPr>
          <w:trHeight w:val="510"/>
        </w:trPr>
        <w:tc>
          <w:tcPr>
            <w:tcW w:w="2380" w:type="dxa"/>
            <w:tcBorders>
              <w:top w:val="nil"/>
              <w:left w:val="single" w:sz="4" w:space="0" w:color="auto"/>
              <w:bottom w:val="single" w:sz="4" w:space="0" w:color="auto"/>
              <w:right w:val="single" w:sz="4" w:space="0" w:color="auto"/>
            </w:tcBorders>
          </w:tcPr>
          <w:p w:rsidR="00C66DF3" w:rsidRDefault="00C66DF3">
            <w:pPr>
              <w:rPr>
                <w:rFonts w:ascii="Arial" w:hAnsi="Arial" w:cs="Arial"/>
                <w:b/>
                <w:bCs/>
                <w:sz w:val="20"/>
                <w:szCs w:val="20"/>
              </w:rPr>
            </w:pPr>
            <w:r>
              <w:rPr>
                <w:rFonts w:ascii="Arial" w:hAnsi="Arial" w:cs="Arial"/>
                <w:b/>
                <w:bCs/>
                <w:sz w:val="20"/>
                <w:szCs w:val="20"/>
              </w:rPr>
              <w:t>Lunch is Up</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33CCCC"/>
          </w:tcPr>
          <w:p w:rsidR="00C66DF3" w:rsidRDefault="00C66DF3">
            <w:pPr>
              <w:jc w:val="center"/>
              <w:rPr>
                <w:rFonts w:ascii="Arial Narrow" w:hAnsi="Arial Narrow" w:cs="Arial"/>
                <w:sz w:val="20"/>
                <w:szCs w:val="20"/>
              </w:rPr>
            </w:pPr>
            <w:r>
              <w:rPr>
                <w:rFonts w:ascii="Arial Narrow" w:hAnsi="Arial Narrow" w:cs="Arial"/>
                <w:sz w:val="20"/>
                <w:szCs w:val="20"/>
              </w:rPr>
              <w:t>RESALE1</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33CCCC"/>
          </w:tcPr>
          <w:p w:rsidR="00C66DF3" w:rsidRDefault="00C66DF3">
            <w:pPr>
              <w:jc w:val="center"/>
              <w:rPr>
                <w:rFonts w:ascii="Arial Narrow" w:hAnsi="Arial Narrow" w:cs="Arial"/>
                <w:sz w:val="20"/>
                <w:szCs w:val="20"/>
              </w:rPr>
            </w:pPr>
            <w:r>
              <w:rPr>
                <w:rFonts w:ascii="Arial Narrow" w:hAnsi="Arial Narrow" w:cs="Arial"/>
                <w:sz w:val="20"/>
                <w:szCs w:val="20"/>
              </w:rPr>
              <w:t>RESALE2</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smartTag w:uri="urn:schemas-microsoft-com:office:smarttags" w:element="date">
              <w:smartTagPr>
                <w:attr w:name="Month" w:val="3"/>
                <w:attr w:name="Day" w:val="20"/>
                <w:attr w:name="Year" w:val="2009"/>
              </w:smartTagPr>
              <w:r>
                <w:rPr>
                  <w:rFonts w:ascii="Arial Narrow" w:hAnsi="Arial Narrow" w:cs="Arial"/>
                  <w:sz w:val="20"/>
                  <w:szCs w:val="20"/>
                </w:rPr>
                <w:t>20-Mar-2009</w:t>
              </w:r>
            </w:smartTag>
          </w:p>
        </w:tc>
      </w:tr>
      <w:tr w:rsidR="00C66DF3">
        <w:trPr>
          <w:trHeight w:val="510"/>
        </w:trPr>
        <w:tc>
          <w:tcPr>
            <w:tcW w:w="2380" w:type="dxa"/>
            <w:tcBorders>
              <w:top w:val="nil"/>
              <w:left w:val="single" w:sz="4" w:space="0" w:color="auto"/>
              <w:bottom w:val="single" w:sz="4" w:space="0" w:color="auto"/>
              <w:right w:val="single" w:sz="4" w:space="0" w:color="auto"/>
            </w:tcBorders>
          </w:tcPr>
          <w:p w:rsidR="00C66DF3" w:rsidRDefault="00C66DF3">
            <w:pPr>
              <w:rPr>
                <w:rFonts w:ascii="Arial" w:hAnsi="Arial" w:cs="Arial"/>
                <w:b/>
                <w:bCs/>
                <w:sz w:val="20"/>
                <w:szCs w:val="20"/>
              </w:rPr>
            </w:pPr>
            <w:r>
              <w:rPr>
                <w:rFonts w:ascii="Arial" w:hAnsi="Arial" w:cs="Arial"/>
                <w:b/>
                <w:bCs/>
                <w:sz w:val="20"/>
                <w:szCs w:val="20"/>
              </w:rPr>
              <w:t>Stairway To Heaven</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smartTag w:uri="urn:schemas-microsoft-com:office:smarttags" w:element="date">
              <w:smartTagPr>
                <w:attr w:name="Month" w:val="9"/>
                <w:attr w:name="Day" w:val="14"/>
                <w:attr w:name="Year" w:val="2011"/>
              </w:smartTagPr>
              <w:r>
                <w:rPr>
                  <w:rFonts w:ascii="Arial Narrow" w:hAnsi="Arial Narrow" w:cs="Arial"/>
                  <w:sz w:val="20"/>
                  <w:szCs w:val="20"/>
                </w:rPr>
                <w:t>14-Sep-2011</w:t>
              </w:r>
            </w:smartTag>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FFFF00"/>
          </w:tcPr>
          <w:p w:rsidR="00C66DF3" w:rsidRDefault="00C66DF3">
            <w:pPr>
              <w:jc w:val="center"/>
              <w:rPr>
                <w:rFonts w:ascii="Arial Narrow" w:hAnsi="Arial Narrow" w:cs="Arial"/>
                <w:sz w:val="20"/>
                <w:szCs w:val="20"/>
              </w:rPr>
            </w:pPr>
            <w:r>
              <w:rPr>
                <w:rFonts w:ascii="Arial Narrow" w:hAnsi="Arial Narrow" w:cs="Arial"/>
                <w:sz w:val="20"/>
                <w:szCs w:val="20"/>
              </w:rPr>
              <w:t>SOLD</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33CCCC"/>
          </w:tcPr>
          <w:p w:rsidR="00C66DF3" w:rsidRDefault="00C66DF3">
            <w:pPr>
              <w:jc w:val="center"/>
              <w:rPr>
                <w:rFonts w:ascii="Arial Narrow" w:hAnsi="Arial Narrow" w:cs="Arial"/>
                <w:sz w:val="20"/>
                <w:szCs w:val="20"/>
              </w:rPr>
            </w:pPr>
            <w:r>
              <w:rPr>
                <w:rFonts w:ascii="Arial Narrow" w:hAnsi="Arial Narrow" w:cs="Arial"/>
                <w:sz w:val="20"/>
                <w:szCs w:val="20"/>
              </w:rPr>
              <w:t>RESALE1</w:t>
            </w:r>
          </w:p>
        </w:tc>
        <w:tc>
          <w:tcPr>
            <w:tcW w:w="1020" w:type="dxa"/>
            <w:tcBorders>
              <w:top w:val="nil"/>
              <w:left w:val="nil"/>
              <w:bottom w:val="single" w:sz="4" w:space="0" w:color="auto"/>
              <w:right w:val="single" w:sz="4" w:space="0" w:color="auto"/>
            </w:tcBorders>
            <w:shd w:val="clear" w:color="auto" w:fill="33CCCC"/>
          </w:tcPr>
          <w:p w:rsidR="00C66DF3" w:rsidRDefault="00C66DF3">
            <w:pPr>
              <w:jc w:val="center"/>
              <w:rPr>
                <w:rFonts w:ascii="Arial Narrow" w:hAnsi="Arial Narrow" w:cs="Arial"/>
                <w:sz w:val="20"/>
                <w:szCs w:val="20"/>
              </w:rPr>
            </w:pPr>
            <w:r>
              <w:rPr>
                <w:rFonts w:ascii="Arial Narrow" w:hAnsi="Arial Narrow" w:cs="Arial"/>
                <w:sz w:val="20"/>
                <w:szCs w:val="20"/>
              </w:rPr>
              <w:t>RESALE1</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r>
      <w:tr w:rsidR="00C66DF3">
        <w:trPr>
          <w:trHeight w:val="510"/>
        </w:trPr>
        <w:tc>
          <w:tcPr>
            <w:tcW w:w="2380" w:type="dxa"/>
            <w:tcBorders>
              <w:top w:val="nil"/>
              <w:left w:val="single" w:sz="4" w:space="0" w:color="auto"/>
              <w:bottom w:val="single" w:sz="4" w:space="0" w:color="auto"/>
              <w:right w:val="single" w:sz="4" w:space="0" w:color="auto"/>
            </w:tcBorders>
          </w:tcPr>
          <w:p w:rsidR="00C66DF3" w:rsidRDefault="00C66DF3">
            <w:pPr>
              <w:rPr>
                <w:rFonts w:ascii="Arial" w:hAnsi="Arial" w:cs="Arial"/>
                <w:b/>
                <w:bCs/>
                <w:sz w:val="20"/>
                <w:szCs w:val="20"/>
              </w:rPr>
            </w:pPr>
            <w:r>
              <w:rPr>
                <w:rFonts w:ascii="Arial" w:hAnsi="Arial" w:cs="Arial"/>
                <w:b/>
                <w:bCs/>
                <w:sz w:val="20"/>
                <w:szCs w:val="20"/>
              </w:rPr>
              <w:t>Sweet Thing</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w:t>
            </w:r>
          </w:p>
        </w:tc>
        <w:tc>
          <w:tcPr>
            <w:tcW w:w="1020" w:type="dxa"/>
            <w:tcBorders>
              <w:top w:val="nil"/>
              <w:left w:val="nil"/>
              <w:bottom w:val="single" w:sz="4" w:space="0" w:color="auto"/>
              <w:right w:val="single" w:sz="4" w:space="0" w:color="auto"/>
            </w:tcBorders>
            <w:shd w:val="clear" w:color="auto" w:fill="00FF00"/>
          </w:tcPr>
          <w:p w:rsidR="00C66DF3" w:rsidRDefault="00C66DF3">
            <w:pPr>
              <w:jc w:val="center"/>
              <w:rPr>
                <w:rFonts w:ascii="Arial Narrow" w:hAnsi="Arial Narrow" w:cs="Arial"/>
                <w:sz w:val="20"/>
                <w:szCs w:val="20"/>
              </w:rPr>
            </w:pPr>
            <w:r>
              <w:rPr>
                <w:rFonts w:ascii="Arial Narrow" w:hAnsi="Arial Narrow" w:cs="Arial"/>
                <w:sz w:val="20"/>
                <w:szCs w:val="20"/>
              </w:rPr>
              <w:t>AVAIL</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 &amp; RESALE1</w:t>
            </w:r>
          </w:p>
        </w:tc>
        <w:tc>
          <w:tcPr>
            <w:tcW w:w="1020" w:type="dxa"/>
            <w:tcBorders>
              <w:top w:val="nil"/>
              <w:left w:val="nil"/>
              <w:bottom w:val="single" w:sz="4" w:space="0" w:color="auto"/>
              <w:right w:val="single" w:sz="4" w:space="0" w:color="auto"/>
            </w:tcBorders>
            <w:shd w:val="clear" w:color="auto" w:fill="CCFFCC"/>
          </w:tcPr>
          <w:p w:rsidR="00C66DF3" w:rsidRDefault="00C66DF3">
            <w:pPr>
              <w:jc w:val="center"/>
              <w:rPr>
                <w:rFonts w:ascii="Arial Narrow" w:hAnsi="Arial Narrow" w:cs="Arial"/>
                <w:sz w:val="20"/>
                <w:szCs w:val="20"/>
              </w:rPr>
            </w:pPr>
            <w:r>
              <w:rPr>
                <w:rFonts w:ascii="Arial Narrow" w:hAnsi="Arial Narrow" w:cs="Arial"/>
                <w:sz w:val="20"/>
                <w:szCs w:val="20"/>
              </w:rPr>
              <w:t>HOLDBACK &amp; RESALE1</w:t>
            </w:r>
          </w:p>
        </w:tc>
        <w:tc>
          <w:tcPr>
            <w:tcW w:w="1020" w:type="dxa"/>
            <w:tcBorders>
              <w:top w:val="nil"/>
              <w:left w:val="nil"/>
              <w:bottom w:val="single" w:sz="4" w:space="0" w:color="auto"/>
              <w:right w:val="single" w:sz="4" w:space="0" w:color="auto"/>
            </w:tcBorders>
            <w:shd w:val="clear" w:color="auto" w:fill="33CCCC"/>
          </w:tcPr>
          <w:p w:rsidR="00C66DF3" w:rsidRDefault="00C66DF3">
            <w:pPr>
              <w:jc w:val="center"/>
              <w:rPr>
                <w:rFonts w:ascii="Arial Narrow" w:hAnsi="Arial Narrow" w:cs="Arial"/>
                <w:sz w:val="20"/>
                <w:szCs w:val="20"/>
              </w:rPr>
            </w:pPr>
            <w:r>
              <w:rPr>
                <w:rFonts w:ascii="Arial Narrow" w:hAnsi="Arial Narrow" w:cs="Arial"/>
                <w:sz w:val="20"/>
                <w:szCs w:val="20"/>
              </w:rPr>
              <w:t>RESALE1</w:t>
            </w:r>
          </w:p>
        </w:tc>
      </w:tr>
    </w:tbl>
    <w:p w:rsidR="00C66DF3" w:rsidRDefault="00C66DF3">
      <w:pPr>
        <w:rPr>
          <w:b/>
          <w:u w:val="single"/>
        </w:rPr>
      </w:pPr>
    </w:p>
    <w:p w:rsidR="00C66DF3" w:rsidRDefault="00C66DF3">
      <w:r>
        <w:t>Shown is the color code setting for the new availability status “Holdback”.  It will be set by Comet during the upgrade to 35, which is the light green shown above. It may be set to any number from the Excel color code table shown here:</w:t>
      </w:r>
    </w:p>
    <w:p w:rsidR="00C66DF3" w:rsidRDefault="00C66DF3">
      <w:hyperlink r:id="rId21" w:history="1">
        <w:r>
          <w:rPr>
            <w:rStyle w:val="Hyperlink"/>
          </w:rPr>
          <w:t>http://www.saturnsoftwareinc.com/ColorSummary.xls</w:t>
        </w:r>
      </w:hyperlink>
    </w:p>
    <w:p w:rsidR="00C66DF3" w:rsidRDefault="00C66DF3">
      <w:pPr>
        <w:rPr>
          <w:b/>
          <w:u w:val="single"/>
        </w:rPr>
      </w:pPr>
    </w:p>
    <w:p w:rsidR="00C66DF3" w:rsidRDefault="00C66DF3">
      <w:pPr>
        <w:rPr>
          <w:b/>
          <w:u w:val="single"/>
        </w:rPr>
      </w:pPr>
      <w:r>
        <w:rPr>
          <w:b/>
          <w:u w:val="single"/>
        </w:rPr>
        <w:pict>
          <v:shape id="_x0000_i1039" type="#_x0000_t75" style="width:6in;height:235pt">
            <v:imagedata r:id="rId22" o:title=""/>
          </v:shape>
        </w:pict>
      </w:r>
    </w:p>
    <w:p w:rsidR="00C66DF3" w:rsidRDefault="00C66DF3">
      <w:pPr>
        <w:rPr>
          <w:b/>
          <w:u w:val="single"/>
        </w:rPr>
      </w:pPr>
    </w:p>
    <w:p w:rsidR="00C66DF3" w:rsidRDefault="00C66DF3">
      <w:pPr>
        <w:rPr>
          <w:b/>
          <w:u w:val="single"/>
        </w:rPr>
      </w:pPr>
      <w:r>
        <w:t xml:space="preserve">The following circled settings are made automatically during the upgrade.  Holdbacks should no longer be set as “Licensed for Avails”.  This was done previously so that the holdbacks would show up in the avail reports.  However, any holdback rights must be set to “-1” or “1” in the holdback column shown. </w:t>
      </w:r>
    </w:p>
    <w:p w:rsidR="00C66DF3" w:rsidRDefault="00C66DF3">
      <w:pPr>
        <w:rPr>
          <w:b/>
          <w:u w:val="single"/>
        </w:rPr>
      </w:pPr>
      <w:r>
        <w:rPr>
          <w:b/>
          <w:u w:val="single"/>
        </w:rPr>
        <w:pict>
          <v:shape id="_x0000_i1040" type="#_x0000_t75" style="width:6in;height:205.15pt">
            <v:imagedata r:id="rId23" o:title=""/>
          </v:shape>
        </w:pict>
      </w:r>
    </w:p>
    <w:p w:rsidR="00C66DF3" w:rsidRDefault="00C66DF3">
      <w:pPr>
        <w:rPr>
          <w:b/>
          <w:u w:val="single"/>
        </w:rPr>
      </w:pPr>
    </w:p>
    <w:p w:rsidR="00C66DF3" w:rsidRDefault="00C66DF3">
      <w:pPr>
        <w:numPr>
          <w:ilvl w:val="0"/>
          <w:numId w:val="30"/>
        </w:numPr>
      </w:pPr>
      <w:r>
        <w:t xml:space="preserve">Report #158, “Contracts by Customer, all Customers with Contract” has checkbox option to only show contracts with balance owed. </w:t>
      </w:r>
    </w:p>
    <w:p w:rsidR="00C66DF3" w:rsidRDefault="00C66DF3">
      <w:pPr>
        <w:numPr>
          <w:ilvl w:val="0"/>
          <w:numId w:val="30"/>
        </w:numPr>
      </w:pPr>
      <w:r>
        <w:t xml:space="preserve">New report #244, “Contracts by Title with </w:t>
      </w:r>
      <w:smartTag w:uri="urn:schemas-microsoft-com:office:smarttags" w:element="place">
        <w:smartTag w:uri="urn:schemas-microsoft-com:office:smarttags" w:element="PlaceName">
          <w:r>
            <w:t>Receipt</w:t>
          </w:r>
        </w:smartTag>
        <w:r>
          <w:t xml:space="preserve"> </w:t>
        </w:r>
        <w:smartTag w:uri="urn:schemas-microsoft-com:office:smarttags" w:element="PlaceName">
          <w:r>
            <w:t>Date</w:t>
          </w:r>
        </w:smartTag>
        <w:r>
          <w:t xml:space="preserve"> </w:t>
        </w:r>
        <w:smartTag w:uri="urn:schemas-microsoft-com:office:smarttags" w:element="PlaceType">
          <w:r>
            <w:t>Range</w:t>
          </w:r>
        </w:smartTag>
      </w:smartTag>
      <w:r>
        <w:t xml:space="preserve">” shows all titles where there are title receipts during date range, showing cumulative receipt totals to end of date range. </w:t>
      </w:r>
      <w:proofErr w:type="gramStart"/>
      <w:r>
        <w:t>Similar to</w:t>
      </w:r>
      <w:proofErr w:type="gramEnd"/>
      <w:r>
        <w:t xml:space="preserve"> layout of report 32. </w:t>
      </w:r>
    </w:p>
    <w:p w:rsidR="00C66DF3" w:rsidRDefault="00C66DF3">
      <w:pPr>
        <w:numPr>
          <w:ilvl w:val="0"/>
          <w:numId w:val="30"/>
        </w:numPr>
      </w:pPr>
      <w:r>
        <w:t>Receipt screen has a search button next to the receipt number</w:t>
      </w:r>
    </w:p>
    <w:p w:rsidR="00C66DF3" w:rsidRDefault="00C66DF3"/>
    <w:p w:rsidR="00C66DF3" w:rsidRDefault="00C66DF3">
      <w:pPr>
        <w:numPr>
          <w:ilvl w:val="0"/>
          <w:numId w:val="30"/>
        </w:numPr>
      </w:pPr>
      <w:r>
        <w:t>Availability report layout is improved:</w:t>
      </w:r>
    </w:p>
    <w:p w:rsidR="00C66DF3" w:rsidRDefault="00C66DF3"/>
    <w:p w:rsidR="00C66DF3" w:rsidRDefault="00C66DF3">
      <w:pPr>
        <w:numPr>
          <w:ilvl w:val="1"/>
          <w:numId w:val="30"/>
        </w:numPr>
      </w:pPr>
      <w:r>
        <w:t>Avail reports starts at column A instead of column B</w:t>
      </w:r>
    </w:p>
    <w:p w:rsidR="00C66DF3" w:rsidRDefault="00C66DF3">
      <w:pPr>
        <w:numPr>
          <w:ilvl w:val="1"/>
          <w:numId w:val="30"/>
        </w:numPr>
      </w:pPr>
      <w:r>
        <w:t>The Page Setup is set as follows:</w:t>
      </w:r>
    </w:p>
    <w:p w:rsidR="00C66DF3" w:rsidRDefault="00C66DF3">
      <w:pPr>
        <w:numPr>
          <w:ilvl w:val="2"/>
          <w:numId w:val="30"/>
        </w:numPr>
      </w:pPr>
      <w:r>
        <w:t>LeftMargin = (0.3 inches)</w:t>
      </w:r>
    </w:p>
    <w:p w:rsidR="00C66DF3" w:rsidRDefault="00C66DF3">
      <w:pPr>
        <w:numPr>
          <w:ilvl w:val="2"/>
          <w:numId w:val="30"/>
        </w:numPr>
      </w:pPr>
      <w:r>
        <w:t>RightMargin = (0.3 inches)</w:t>
      </w:r>
    </w:p>
    <w:p w:rsidR="00C66DF3" w:rsidRDefault="00C66DF3">
      <w:pPr>
        <w:numPr>
          <w:ilvl w:val="2"/>
          <w:numId w:val="30"/>
        </w:numPr>
      </w:pPr>
      <w:r>
        <w:t>TopMargin = (0.5 inches)</w:t>
      </w:r>
    </w:p>
    <w:p w:rsidR="00C66DF3" w:rsidRDefault="00C66DF3">
      <w:pPr>
        <w:numPr>
          <w:ilvl w:val="2"/>
          <w:numId w:val="30"/>
        </w:numPr>
      </w:pPr>
      <w:r>
        <w:t>BottomMargin = (0.5 inches)</w:t>
      </w:r>
    </w:p>
    <w:p w:rsidR="00C66DF3" w:rsidRDefault="00C66DF3">
      <w:pPr>
        <w:numPr>
          <w:ilvl w:val="2"/>
          <w:numId w:val="30"/>
        </w:numPr>
      </w:pPr>
      <w:r>
        <w:t>HeaderMargin = (0.3 inches)</w:t>
      </w:r>
    </w:p>
    <w:p w:rsidR="00C66DF3" w:rsidRDefault="00C66DF3">
      <w:pPr>
        <w:numPr>
          <w:ilvl w:val="2"/>
          <w:numId w:val="30"/>
        </w:numPr>
      </w:pPr>
      <w:r>
        <w:t>FooterMargin = (0.3 inches)</w:t>
      </w:r>
    </w:p>
    <w:p w:rsidR="00C66DF3" w:rsidRDefault="00C66DF3">
      <w:pPr>
        <w:numPr>
          <w:ilvl w:val="1"/>
          <w:numId w:val="30"/>
        </w:numPr>
      </w:pPr>
      <w:r>
        <w:t>Synopsis has a column width of 45 points</w:t>
      </w:r>
    </w:p>
    <w:p w:rsidR="00C66DF3" w:rsidRDefault="00C66DF3">
      <w:pPr>
        <w:numPr>
          <w:ilvl w:val="1"/>
          <w:numId w:val="30"/>
        </w:numPr>
      </w:pPr>
      <w:r>
        <w:t>Avail/Sold condensed version will print in portrait or landscape as selected. Previously, it printed only in portrait</w:t>
      </w:r>
    </w:p>
    <w:p w:rsidR="00C66DF3" w:rsidRDefault="00C66DF3">
      <w:pPr>
        <w:numPr>
          <w:ilvl w:val="0"/>
          <w:numId w:val="30"/>
        </w:numPr>
      </w:pPr>
      <w:r>
        <w:t>Event management screen has Title Inventory # and Salesperson as new columns</w:t>
      </w:r>
    </w:p>
    <w:p w:rsidR="00C66DF3" w:rsidRDefault="00C66DF3">
      <w:pPr>
        <w:numPr>
          <w:ilvl w:val="0"/>
          <w:numId w:val="30"/>
        </w:numPr>
      </w:pPr>
      <w:r>
        <w:t>(Office 2003 only) Fix to situation where, in Accounting Interface Receipt screen, moving to last record caused popup error problem</w:t>
      </w:r>
    </w:p>
    <w:p w:rsidR="00C66DF3" w:rsidRDefault="00C66DF3"/>
    <w:p w:rsidR="00C66DF3" w:rsidRDefault="00C66DF3"/>
    <w:p w:rsidR="00C66DF3" w:rsidRDefault="00C66DF3">
      <w:pPr>
        <w:rPr>
          <w:b/>
          <w:u w:val="single"/>
        </w:rPr>
      </w:pPr>
      <w:r>
        <w:rPr>
          <w:b/>
          <w:u w:val="single"/>
        </w:rPr>
        <w:t>2006-05-05</w:t>
      </w:r>
    </w:p>
    <w:p w:rsidR="00C66DF3" w:rsidRDefault="00C66DF3">
      <w:pPr>
        <w:rPr>
          <w:b/>
          <w:u w:val="single"/>
        </w:rPr>
      </w:pPr>
    </w:p>
    <w:p w:rsidR="00C66DF3" w:rsidRDefault="00C66DF3">
      <w:pPr>
        <w:numPr>
          <w:ilvl w:val="0"/>
          <w:numId w:val="28"/>
        </w:numPr>
      </w:pPr>
      <w:r>
        <w:t>Performance optimization for new report #242</w:t>
      </w:r>
    </w:p>
    <w:p w:rsidR="00C66DF3" w:rsidRDefault="00C66DF3">
      <w:pPr>
        <w:rPr>
          <w:b/>
          <w:u w:val="single"/>
        </w:rPr>
      </w:pPr>
    </w:p>
    <w:p w:rsidR="00C66DF3" w:rsidRDefault="00C66DF3">
      <w:pPr>
        <w:rPr>
          <w:b/>
          <w:u w:val="single"/>
        </w:rPr>
      </w:pPr>
      <w:r>
        <w:rPr>
          <w:b/>
          <w:u w:val="single"/>
        </w:rPr>
        <w:t>2006-05-04</w:t>
      </w:r>
    </w:p>
    <w:p w:rsidR="00C66DF3" w:rsidRDefault="00C66DF3">
      <w:pPr>
        <w:rPr>
          <w:b/>
          <w:u w:val="single"/>
        </w:rPr>
      </w:pPr>
    </w:p>
    <w:p w:rsidR="00C66DF3" w:rsidRDefault="00C66DF3">
      <w:pPr>
        <w:numPr>
          <w:ilvl w:val="0"/>
          <w:numId w:val="26"/>
        </w:numPr>
      </w:pPr>
      <w:r>
        <w:t xml:space="preserve">System filter now includes year of production (range) and Distributing </w:t>
      </w:r>
      <w:proofErr w:type="gramStart"/>
      <w:r>
        <w:t>For</w:t>
      </w:r>
      <w:proofErr w:type="gramEnd"/>
      <w:r>
        <w:t xml:space="preserve"> (from Title Setup)</w:t>
      </w:r>
    </w:p>
    <w:p w:rsidR="00C66DF3" w:rsidRDefault="00C66DF3">
      <w:pPr>
        <w:rPr>
          <w:b/>
          <w:u w:val="single"/>
        </w:rPr>
      </w:pPr>
    </w:p>
    <w:p w:rsidR="00C66DF3" w:rsidRDefault="00C66DF3">
      <w:pPr>
        <w:ind w:firstLine="720"/>
        <w:rPr>
          <w:b/>
          <w:u w:val="single"/>
        </w:rPr>
      </w:pPr>
      <w:r>
        <w:rPr>
          <w:b/>
          <w:u w:val="single"/>
        </w:rPr>
        <w:pict>
          <v:shape id="_x0000_i1041" type="#_x0000_t75" style="width:292.75pt;height:57.75pt">
            <v:imagedata r:id="rId24" o:title=""/>
          </v:shape>
        </w:pict>
      </w:r>
    </w:p>
    <w:p w:rsidR="00C66DF3" w:rsidRDefault="00C66DF3">
      <w:pPr>
        <w:rPr>
          <w:b/>
          <w:u w:val="single"/>
        </w:rPr>
      </w:pPr>
    </w:p>
    <w:p w:rsidR="00C66DF3" w:rsidRDefault="00C66DF3">
      <w:pPr>
        <w:rPr>
          <w:b/>
          <w:u w:val="single"/>
        </w:rPr>
      </w:pPr>
    </w:p>
    <w:p w:rsidR="00C66DF3" w:rsidRDefault="00C66DF3">
      <w:pPr>
        <w:numPr>
          <w:ilvl w:val="0"/>
          <w:numId w:val="26"/>
        </w:numPr>
      </w:pPr>
      <w:r>
        <w:t xml:space="preserve">New report #243, “Contracts by Customer with </w:t>
      </w:r>
      <w:smartTag w:uri="urn:schemas-microsoft-com:office:smarttags" w:element="place">
        <w:smartTag w:uri="urn:schemas-microsoft-com:office:smarttags" w:element="PlaceName">
          <w:r>
            <w:t>Receipt</w:t>
          </w:r>
        </w:smartTag>
        <w:r>
          <w:t xml:space="preserve"> </w:t>
        </w:r>
        <w:smartTag w:uri="urn:schemas-microsoft-com:office:smarttags" w:element="PlaceName">
          <w:r>
            <w:t>Date</w:t>
          </w:r>
        </w:smartTag>
        <w:r>
          <w:t xml:space="preserve"> </w:t>
        </w:r>
        <w:smartTag w:uri="urn:schemas-microsoft-com:office:smarttags" w:element="PlaceType">
          <w:r>
            <w:t>Range</w:t>
          </w:r>
        </w:smartTag>
      </w:smartTag>
      <w:r>
        <w:t xml:space="preserve">” shows all titles where there are customer receipts during date range, showing cumulative receipt totals to end of date range. </w:t>
      </w:r>
      <w:proofErr w:type="gramStart"/>
      <w:r>
        <w:t>Similar to</w:t>
      </w:r>
      <w:proofErr w:type="gramEnd"/>
      <w:r>
        <w:t xml:space="preserve"> layout of report 158. </w:t>
      </w:r>
    </w:p>
    <w:p w:rsidR="00C66DF3" w:rsidRDefault="00C66DF3">
      <w:pPr>
        <w:ind w:left="360"/>
      </w:pPr>
    </w:p>
    <w:p w:rsidR="00C66DF3" w:rsidRDefault="00C66DF3">
      <w:pPr>
        <w:numPr>
          <w:ilvl w:val="0"/>
          <w:numId w:val="27"/>
        </w:numPr>
      </w:pPr>
      <w:r>
        <w:t xml:space="preserve">New report #242, “Titles Without Sales Contracts” lists titles and title information that are not in any license contracts or </w:t>
      </w:r>
      <w:proofErr w:type="gramStart"/>
      <w:r>
        <w:t>third party</w:t>
      </w:r>
      <w:proofErr w:type="gramEnd"/>
      <w:r>
        <w:t xml:space="preserve"> contracts.  Episode Titles linked to episodes in contracts are not shown. Excludes void contracts. </w:t>
      </w:r>
    </w:p>
    <w:p w:rsidR="00C66DF3" w:rsidRDefault="00C66DF3"/>
    <w:p w:rsidR="00C66DF3" w:rsidRDefault="00C66DF3"/>
    <w:p w:rsidR="00C66DF3" w:rsidRDefault="00C66DF3">
      <w:pPr>
        <w:jc w:val="both"/>
        <w:rPr>
          <w:b/>
          <w:u w:val="single"/>
        </w:rPr>
      </w:pPr>
      <w:r>
        <w:rPr>
          <w:b/>
          <w:u w:val="single"/>
        </w:rPr>
        <w:t>2006-05-03</w:t>
      </w:r>
    </w:p>
    <w:p w:rsidR="00C66DF3" w:rsidRDefault="00C66DF3">
      <w:pPr>
        <w:numPr>
          <w:ilvl w:val="0"/>
          <w:numId w:val="25"/>
        </w:numPr>
      </w:pPr>
      <w:r>
        <w:t xml:space="preserve">Invoice and license fee re-allocation has option to condense the adjusting invoices and allocations into one record whenever possible.  Individual records are totaled.  Recommended for contracts with over 5 titles.  </w:t>
      </w:r>
    </w:p>
    <w:p w:rsidR="00C66DF3" w:rsidRDefault="00C66DF3">
      <w:pPr>
        <w:ind w:firstLine="720"/>
      </w:pPr>
      <w:r>
        <w:pict>
          <v:shape id="_x0000_i1042" type="#_x0000_t75" style="width:216.7pt;height:31.25pt">
            <v:imagedata r:id="rId25" o:title=""/>
          </v:shape>
        </w:pict>
      </w:r>
    </w:p>
    <w:p w:rsidR="00C66DF3" w:rsidRDefault="00C66DF3"/>
    <w:p w:rsidR="00C66DF3" w:rsidRDefault="00C66DF3">
      <w:pPr>
        <w:numPr>
          <w:ilvl w:val="0"/>
          <w:numId w:val="25"/>
        </w:numPr>
      </w:pPr>
      <w:r>
        <w:t xml:space="preserve">Invoice and license fee re-allocation screen has option to save and recall contract selections. This feature is useful if re-allocating numerous titles and a change is needed to the weighting, </w:t>
      </w:r>
    </w:p>
    <w:p w:rsidR="00C66DF3" w:rsidRDefault="00C66DF3"/>
    <w:p w:rsidR="00C66DF3" w:rsidRDefault="00C66DF3">
      <w:pPr>
        <w:ind w:left="720" w:firstLine="720"/>
      </w:pPr>
      <w:r>
        <w:pict>
          <v:shape id="_x0000_i1043" type="#_x0000_t75" style="width:137.2pt;height:44.15pt">
            <v:imagedata r:id="rId26" o:title=""/>
          </v:shape>
        </w:pict>
      </w:r>
    </w:p>
    <w:p w:rsidR="00C66DF3" w:rsidRDefault="00C66DF3">
      <w:pPr>
        <w:rPr>
          <w:b/>
          <w:u w:val="single"/>
        </w:rPr>
      </w:pPr>
    </w:p>
    <w:p w:rsidR="00C66DF3" w:rsidRDefault="00C66DF3">
      <w:pPr>
        <w:numPr>
          <w:ilvl w:val="0"/>
          <w:numId w:val="25"/>
        </w:numPr>
      </w:pPr>
      <w:r>
        <w:t>Invoice re-allocation has option to stop processing</w:t>
      </w:r>
    </w:p>
    <w:p w:rsidR="00C66DF3" w:rsidRDefault="00C66DF3">
      <w:pPr>
        <w:ind w:left="720" w:firstLine="720"/>
        <w:rPr>
          <w:b/>
          <w:u w:val="single"/>
        </w:rPr>
      </w:pPr>
      <w:r>
        <w:rPr>
          <w:b/>
          <w:u w:val="single"/>
        </w:rPr>
        <w:pict>
          <v:shape id="_x0000_i1044" type="#_x0000_t75" style="width:131.75pt;height:31.25pt">
            <v:imagedata r:id="rId27" o:title=""/>
          </v:shape>
        </w:pict>
      </w:r>
    </w:p>
    <w:p w:rsidR="00C66DF3" w:rsidRDefault="00C66DF3">
      <w:pPr>
        <w:rPr>
          <w:b/>
          <w:u w:val="single"/>
        </w:rPr>
      </w:pPr>
    </w:p>
    <w:p w:rsidR="00C66DF3" w:rsidRDefault="00C66DF3">
      <w:pPr>
        <w:numPr>
          <w:ilvl w:val="0"/>
          <w:numId w:val="25"/>
        </w:numPr>
      </w:pPr>
      <w:r>
        <w:t xml:space="preserve">Report 32 “Contracts by Title, excluding materials” has two new checkbox options to show detailed spreadsheet view of data behind report, and summary report showing totals by title. </w:t>
      </w:r>
    </w:p>
    <w:p w:rsidR="00C66DF3" w:rsidRDefault="00C66DF3">
      <w:pPr>
        <w:rPr>
          <w:b/>
          <w:u w:val="single"/>
        </w:rPr>
      </w:pPr>
      <w:r>
        <w:rPr>
          <w:b/>
          <w:u w:val="single"/>
        </w:rPr>
        <w:t xml:space="preserve"> </w:t>
      </w:r>
      <w:r>
        <w:rPr>
          <w:b/>
          <w:u w:val="single"/>
        </w:rPr>
        <w:pict>
          <v:shape id="_x0000_i1045" type="#_x0000_t75" style="width:6in;height:49.6pt">
            <v:imagedata r:id="rId28" o:title=""/>
          </v:shape>
        </w:pict>
      </w:r>
    </w:p>
    <w:p w:rsidR="00C66DF3" w:rsidRDefault="00C66DF3">
      <w:pPr>
        <w:rPr>
          <w:b/>
          <w:u w:val="single"/>
        </w:rPr>
      </w:pPr>
    </w:p>
    <w:p w:rsidR="00C66DF3" w:rsidRDefault="00C66DF3">
      <w:pPr>
        <w:jc w:val="both"/>
        <w:rPr>
          <w:b/>
          <w:u w:val="single"/>
        </w:rPr>
      </w:pPr>
      <w:r>
        <w:rPr>
          <w:b/>
          <w:u w:val="single"/>
        </w:rPr>
        <w:t>2006-04-21</w:t>
      </w:r>
    </w:p>
    <w:p w:rsidR="00C66DF3" w:rsidRDefault="00C66DF3">
      <w:pPr>
        <w:numPr>
          <w:ilvl w:val="0"/>
          <w:numId w:val="24"/>
        </w:numPr>
        <w:jc w:val="both"/>
        <w:rPr>
          <w:b/>
          <w:u w:val="single"/>
        </w:rPr>
      </w:pPr>
      <w:r>
        <w:t>Performance optimization of invoice re-allocation</w:t>
      </w:r>
    </w:p>
    <w:p w:rsidR="00C66DF3" w:rsidRDefault="00C66DF3">
      <w:pPr>
        <w:rPr>
          <w:b/>
          <w:u w:val="single"/>
        </w:rPr>
      </w:pPr>
    </w:p>
    <w:p w:rsidR="00C66DF3" w:rsidRDefault="00C66DF3">
      <w:pPr>
        <w:rPr>
          <w:b/>
          <w:u w:val="single"/>
        </w:rPr>
      </w:pPr>
      <w:r>
        <w:rPr>
          <w:b/>
          <w:u w:val="single"/>
        </w:rPr>
        <w:t>2006-04-20</w:t>
      </w:r>
    </w:p>
    <w:p w:rsidR="00C66DF3" w:rsidRDefault="00C66DF3">
      <w:pPr>
        <w:numPr>
          <w:ilvl w:val="0"/>
          <w:numId w:val="23"/>
        </w:numPr>
      </w:pPr>
      <w:r>
        <w:t xml:space="preserve">Due to base data setup problem for specific customers, the language English was added but not included (checked on) for Canada English deals. This version retroactively fixes this. </w:t>
      </w:r>
    </w:p>
    <w:p w:rsidR="00C66DF3" w:rsidRDefault="00C66DF3">
      <w:pPr>
        <w:numPr>
          <w:ilvl w:val="0"/>
          <w:numId w:val="23"/>
        </w:numPr>
      </w:pPr>
      <w:r>
        <w:t>Comet has standardized the Comet installation to “C:\Program Files\CometRights” instead of the previous “C:\Program Files\</w:t>
      </w:r>
      <w:proofErr w:type="gramStart"/>
      <w:r>
        <w:t>Comet”  The</w:t>
      </w:r>
      <w:proofErr w:type="gramEnd"/>
      <w:r>
        <w:t xml:space="preserve"> Comet update extractor copies the necessary download files from the Comet folder to the CometRights folder. </w:t>
      </w:r>
    </w:p>
    <w:p w:rsidR="00C66DF3" w:rsidRDefault="00C66DF3">
      <w:pPr>
        <w:rPr>
          <w:b/>
          <w:u w:val="single"/>
        </w:rPr>
      </w:pPr>
    </w:p>
    <w:p w:rsidR="00C66DF3" w:rsidRDefault="00C66DF3">
      <w:pPr>
        <w:rPr>
          <w:b/>
          <w:u w:val="single"/>
        </w:rPr>
      </w:pPr>
      <w:r>
        <w:rPr>
          <w:b/>
          <w:u w:val="single"/>
        </w:rPr>
        <w:t>2006-04-18</w:t>
      </w:r>
    </w:p>
    <w:p w:rsidR="00C66DF3" w:rsidRDefault="00C66DF3">
      <w:pPr>
        <w:numPr>
          <w:ilvl w:val="0"/>
          <w:numId w:val="22"/>
        </w:numPr>
      </w:pPr>
      <w:r>
        <w:t xml:space="preserve">Multi-contract re-allocation has new option to select if license fees are re-allocated based on title weights, or if the invoices are to be re-allocated with existing license fees, or both. </w:t>
      </w:r>
    </w:p>
    <w:p w:rsidR="00C66DF3" w:rsidRDefault="00C66DF3"/>
    <w:p w:rsidR="00C66DF3" w:rsidRDefault="00C66DF3">
      <w:pPr>
        <w:rPr>
          <w:b/>
          <w:u w:val="single"/>
        </w:rPr>
      </w:pPr>
    </w:p>
    <w:p w:rsidR="00C66DF3" w:rsidRDefault="00C66DF3">
      <w:pPr>
        <w:ind w:firstLine="720"/>
        <w:rPr>
          <w:b/>
          <w:u w:val="single"/>
        </w:rPr>
      </w:pPr>
      <w:r>
        <w:rPr>
          <w:b/>
          <w:u w:val="single"/>
        </w:rPr>
        <w:pict>
          <v:shape id="_x0000_i1046" type="#_x0000_t75" style="width:5in;height:144.7pt">
            <v:imagedata r:id="rId29" o:title=""/>
          </v:shape>
        </w:pict>
      </w:r>
    </w:p>
    <w:p w:rsidR="00C66DF3" w:rsidRDefault="00C66DF3">
      <w:pPr>
        <w:rPr>
          <w:b/>
          <w:u w:val="single"/>
        </w:rPr>
      </w:pPr>
    </w:p>
    <w:p w:rsidR="00C66DF3" w:rsidRDefault="00C66DF3">
      <w:pPr>
        <w:rPr>
          <w:b/>
          <w:u w:val="single"/>
        </w:rPr>
      </w:pPr>
    </w:p>
    <w:p w:rsidR="00C66DF3" w:rsidRDefault="00C66DF3">
      <w:pPr>
        <w:rPr>
          <w:b/>
          <w:u w:val="single"/>
        </w:rPr>
      </w:pPr>
    </w:p>
    <w:p w:rsidR="00C66DF3" w:rsidRDefault="00C66DF3">
      <w:pPr>
        <w:rPr>
          <w:b/>
          <w:u w:val="single"/>
        </w:rPr>
      </w:pPr>
      <w:r>
        <w:rPr>
          <w:b/>
          <w:u w:val="single"/>
        </w:rPr>
        <w:t>2006-04-15</w:t>
      </w:r>
    </w:p>
    <w:p w:rsidR="00C66DF3" w:rsidRDefault="00C66DF3">
      <w:pPr>
        <w:numPr>
          <w:ilvl w:val="0"/>
          <w:numId w:val="21"/>
        </w:numPr>
        <w:jc w:val="both"/>
      </w:pPr>
      <w:r>
        <w:t>Comet allows selecting multiple contracts for invoice/license fee re-allocation.  Feature can be reached from Comet menu under “Modules-&gt;Accounting-&gt;</w:t>
      </w:r>
      <w:proofErr w:type="gramStart"/>
      <w:r>
        <w:t>Multi-contract</w:t>
      </w:r>
      <w:proofErr w:type="gramEnd"/>
      <w:r>
        <w:t xml:space="preserve"> re-allocation”</w:t>
      </w:r>
    </w:p>
    <w:p w:rsidR="00C66DF3" w:rsidRDefault="00C66DF3">
      <w:pPr>
        <w:rPr>
          <w:b/>
          <w:u w:val="single"/>
        </w:rPr>
      </w:pPr>
    </w:p>
    <w:p w:rsidR="00C66DF3" w:rsidRDefault="00C66DF3">
      <w:pPr>
        <w:rPr>
          <w:b/>
          <w:u w:val="single"/>
        </w:rPr>
      </w:pPr>
      <w:r>
        <w:rPr>
          <w:b/>
          <w:u w:val="single"/>
        </w:rPr>
        <w:t>2006-04-10</w:t>
      </w:r>
    </w:p>
    <w:p w:rsidR="00C66DF3" w:rsidRDefault="00C66DF3">
      <w:pPr>
        <w:rPr>
          <w:b/>
          <w:u w:val="single"/>
        </w:rPr>
      </w:pPr>
    </w:p>
    <w:p w:rsidR="00C66DF3" w:rsidRDefault="00C66DF3">
      <w:pPr>
        <w:numPr>
          <w:ilvl w:val="0"/>
          <w:numId w:val="20"/>
        </w:numPr>
      </w:pPr>
      <w:r>
        <w:t>Retroactive conversion of “Grouped Materials” invoices and “Single Record Multi-Title Invoices (Only applies to specific Comet customers)</w:t>
      </w:r>
    </w:p>
    <w:p w:rsidR="00C66DF3" w:rsidRDefault="00C66DF3">
      <w:pPr>
        <w:rPr>
          <w:b/>
          <w:u w:val="single"/>
        </w:rPr>
      </w:pPr>
    </w:p>
    <w:p w:rsidR="00C66DF3" w:rsidRDefault="00C66DF3">
      <w:pPr>
        <w:ind w:firstLine="720"/>
        <w:rPr>
          <w:b/>
          <w:u w:val="single"/>
        </w:rPr>
      </w:pPr>
      <w:r>
        <w:rPr>
          <w:b/>
          <w:u w:val="single"/>
        </w:rPr>
        <w:pict>
          <v:shape id="_x0000_i1047" type="#_x0000_t75" style="width:380.4pt;height:95.1pt">
            <v:imagedata r:id="rId30" o:title=""/>
          </v:shape>
        </w:pict>
      </w:r>
    </w:p>
    <w:p w:rsidR="00C66DF3" w:rsidRDefault="00C66DF3">
      <w:pPr>
        <w:rPr>
          <w:b/>
          <w:u w:val="single"/>
        </w:rPr>
      </w:pPr>
    </w:p>
    <w:p w:rsidR="00C66DF3" w:rsidRDefault="00C66DF3">
      <w:pPr>
        <w:rPr>
          <w:b/>
          <w:u w:val="single"/>
        </w:rPr>
      </w:pPr>
    </w:p>
    <w:p w:rsidR="00C66DF3" w:rsidRDefault="00C66DF3">
      <w:pPr>
        <w:rPr>
          <w:b/>
          <w:u w:val="single"/>
        </w:rPr>
      </w:pPr>
      <w:r>
        <w:rPr>
          <w:b/>
          <w:u w:val="single"/>
        </w:rPr>
        <w:t>2006-04-04</w:t>
      </w:r>
    </w:p>
    <w:p w:rsidR="00C66DF3" w:rsidRDefault="00C66DF3">
      <w:pPr>
        <w:numPr>
          <w:ilvl w:val="0"/>
          <w:numId w:val="18"/>
        </w:numPr>
      </w:pPr>
      <w:r>
        <w:t>Comet report 75 has new options and features:</w:t>
      </w:r>
    </w:p>
    <w:p w:rsidR="00C66DF3" w:rsidRDefault="00C66DF3">
      <w:pPr>
        <w:numPr>
          <w:ilvl w:val="1"/>
          <w:numId w:val="18"/>
        </w:numPr>
      </w:pPr>
      <w:r>
        <w:t>Filter by right category now active (shown below)</w:t>
      </w:r>
    </w:p>
    <w:p w:rsidR="00C66DF3" w:rsidRDefault="00C66DF3">
      <w:pPr>
        <w:numPr>
          <w:ilvl w:val="1"/>
          <w:numId w:val="18"/>
        </w:numPr>
      </w:pPr>
      <w:r>
        <w:t>“Datasheet View” option provides the following additional fields:</w:t>
      </w:r>
    </w:p>
    <w:p w:rsidR="00C66DF3" w:rsidRDefault="00C66DF3">
      <w:pPr>
        <w:numPr>
          <w:ilvl w:val="2"/>
          <w:numId w:val="18"/>
        </w:numPr>
      </w:pPr>
      <w:r>
        <w:t>Contract Status</w:t>
      </w:r>
    </w:p>
    <w:p w:rsidR="00C66DF3" w:rsidRDefault="00C66DF3">
      <w:pPr>
        <w:numPr>
          <w:ilvl w:val="2"/>
          <w:numId w:val="18"/>
        </w:numPr>
      </w:pPr>
      <w:r>
        <w:t>Contract Execution Date</w:t>
      </w:r>
    </w:p>
    <w:p w:rsidR="00C66DF3" w:rsidRDefault="00C66DF3">
      <w:pPr>
        <w:numPr>
          <w:ilvl w:val="2"/>
          <w:numId w:val="18"/>
        </w:numPr>
      </w:pPr>
      <w:r>
        <w:t>Holdback Text</w:t>
      </w:r>
    </w:p>
    <w:p w:rsidR="00C66DF3" w:rsidRDefault="00C66DF3">
      <w:pPr>
        <w:numPr>
          <w:ilvl w:val="2"/>
          <w:numId w:val="18"/>
        </w:numPr>
      </w:pPr>
      <w:r>
        <w:t>Computed Start Date, based on holdback events entered</w:t>
      </w:r>
    </w:p>
    <w:p w:rsidR="00C66DF3" w:rsidRDefault="00C66DF3">
      <w:pPr>
        <w:numPr>
          <w:ilvl w:val="2"/>
          <w:numId w:val="18"/>
        </w:numPr>
      </w:pPr>
      <w:r>
        <w:t>Runs</w:t>
      </w:r>
    </w:p>
    <w:p w:rsidR="00C66DF3" w:rsidRDefault="00C66DF3">
      <w:pPr>
        <w:numPr>
          <w:ilvl w:val="2"/>
          <w:numId w:val="18"/>
        </w:numPr>
      </w:pPr>
      <w:r>
        <w:t>Playdates</w:t>
      </w:r>
    </w:p>
    <w:p w:rsidR="00C66DF3" w:rsidRDefault="00C66DF3">
      <w:pPr>
        <w:numPr>
          <w:ilvl w:val="2"/>
          <w:numId w:val="18"/>
        </w:numPr>
      </w:pPr>
      <w:r>
        <w:t>Number of Days until Expiration of license period</w:t>
      </w:r>
    </w:p>
    <w:p w:rsidR="00C66DF3" w:rsidRDefault="00C66DF3">
      <w:pPr>
        <w:numPr>
          <w:ilvl w:val="2"/>
          <w:numId w:val="18"/>
        </w:numPr>
      </w:pPr>
      <w:r>
        <w:t>Number of Days until End of sell-off period</w:t>
      </w:r>
    </w:p>
    <w:p w:rsidR="00C66DF3" w:rsidRDefault="00C66DF3">
      <w:pPr>
        <w:numPr>
          <w:ilvl w:val="2"/>
          <w:numId w:val="18"/>
        </w:numPr>
      </w:pPr>
      <w:r>
        <w:t>Number of Days until End of Blackout Period</w:t>
      </w:r>
    </w:p>
    <w:p w:rsidR="00C66DF3" w:rsidRDefault="00C66DF3">
      <w:pPr>
        <w:numPr>
          <w:ilvl w:val="2"/>
          <w:numId w:val="18"/>
        </w:numPr>
      </w:pPr>
      <w:r>
        <w:t>Number of Days until End of release trigger window</w:t>
      </w:r>
    </w:p>
    <w:p w:rsidR="00C66DF3" w:rsidRDefault="00C66DF3">
      <w:pPr>
        <w:numPr>
          <w:ilvl w:val="1"/>
          <w:numId w:val="18"/>
        </w:numPr>
      </w:pPr>
      <w:r>
        <w:t xml:space="preserve">Report may be run as of any date (past and future) shown below. If blank, current date is used.  Normally, the dates will be the same if run as of the current date or a future date, with the exception that if outside dates are exceed in the calculation, the expiration date may be different. However, the “days until end” calculation will be different. </w:t>
      </w:r>
    </w:p>
    <w:p w:rsidR="00C66DF3" w:rsidRDefault="00C66DF3">
      <w:r>
        <w:rPr>
          <w:b/>
          <w:u w:val="single"/>
        </w:rPr>
        <w:pict>
          <v:shape id="_x0000_i1048" type="#_x0000_t75" style="width:431.3pt;height:81.5pt">
            <v:imagedata r:id="rId31" o:title=""/>
          </v:shape>
        </w:pict>
      </w:r>
    </w:p>
    <w:p w:rsidR="00C66DF3" w:rsidRDefault="00C66DF3">
      <w:pPr>
        <w:numPr>
          <w:ilvl w:val="1"/>
          <w:numId w:val="18"/>
        </w:numPr>
      </w:pPr>
      <w:r>
        <w:t>Open Datasheet View defaults to true</w:t>
      </w:r>
    </w:p>
    <w:p w:rsidR="00C66DF3" w:rsidRDefault="00C66DF3">
      <w:pPr>
        <w:numPr>
          <w:ilvl w:val="1"/>
          <w:numId w:val="18"/>
        </w:numPr>
      </w:pPr>
      <w:r>
        <w:t>Internal Title Billing Comments appear in the “Datasheet View”.  The source is from the box shown:</w:t>
      </w:r>
    </w:p>
    <w:p w:rsidR="00C66DF3" w:rsidRDefault="00C66DF3">
      <w:pPr>
        <w:ind w:left="720" w:firstLine="720"/>
      </w:pPr>
      <w:r>
        <w:pict>
          <v:shape id="_x0000_i1049" type="#_x0000_t75" style="width:6in;height:263.55pt">
            <v:imagedata r:id="rId32" o:title=""/>
          </v:shape>
        </w:pict>
      </w:r>
    </w:p>
    <w:p w:rsidR="00C66DF3" w:rsidRDefault="00C66DF3">
      <w:pPr>
        <w:numPr>
          <w:ilvl w:val="0"/>
          <w:numId w:val="18"/>
        </w:numPr>
      </w:pPr>
      <w:r>
        <w:t>Comet Expiration Notification may be re-run with full e-mail functionality as of any date in the event a report was missed.</w:t>
      </w:r>
    </w:p>
    <w:p w:rsidR="00C66DF3" w:rsidRDefault="00C66DF3">
      <w:pPr>
        <w:ind w:firstLine="720"/>
      </w:pPr>
      <w:r>
        <w:pict>
          <v:shape id="_x0000_i1050" type="#_x0000_t75" style="width:400.1pt;height:114.8pt">
            <v:imagedata r:id="rId33" o:title=""/>
          </v:shape>
        </w:pict>
      </w:r>
    </w:p>
    <w:p w:rsidR="00C66DF3" w:rsidRDefault="00C66DF3"/>
    <w:p w:rsidR="00C66DF3" w:rsidRDefault="00C66DF3">
      <w:pPr>
        <w:numPr>
          <w:ilvl w:val="0"/>
          <w:numId w:val="19"/>
        </w:numPr>
      </w:pPr>
      <w:r>
        <w:t xml:space="preserve">Report #57, “Invoices Due” has options to include/exclude Overage/Royalty/Disposition invoices and/or Materials invoices. </w:t>
      </w:r>
    </w:p>
    <w:p w:rsidR="00C66DF3" w:rsidRDefault="00C66DF3">
      <w:pPr>
        <w:ind w:left="360"/>
      </w:pPr>
    </w:p>
    <w:p w:rsidR="00C66DF3" w:rsidRDefault="00C66DF3">
      <w:pPr>
        <w:ind w:firstLine="720"/>
      </w:pPr>
      <w:r>
        <w:pict>
          <v:shape id="_x0000_i1051" type="#_x0000_t75" style="width:201.75pt;height:113.45pt">
            <v:imagedata r:id="rId34" o:title=""/>
          </v:shape>
        </w:pict>
      </w:r>
    </w:p>
    <w:p w:rsidR="00C66DF3" w:rsidRDefault="00C66DF3"/>
    <w:p w:rsidR="00C66DF3" w:rsidRDefault="00C66DF3"/>
    <w:p w:rsidR="00C66DF3" w:rsidRDefault="00C66DF3">
      <w:pPr>
        <w:numPr>
          <w:ilvl w:val="0"/>
          <w:numId w:val="19"/>
        </w:numPr>
      </w:pPr>
      <w:r>
        <w:t xml:space="preserve">Additional options for Report #4 “Acquisition/Production Contract List”  </w:t>
      </w:r>
    </w:p>
    <w:p w:rsidR="00C66DF3" w:rsidRDefault="00C66DF3">
      <w:pPr>
        <w:numPr>
          <w:ilvl w:val="1"/>
          <w:numId w:val="19"/>
        </w:numPr>
      </w:pPr>
      <w:r>
        <w:t xml:space="preserve">New option to show territory exclusions, combined from the included/excluded territories and from the </w:t>
      </w:r>
      <w:proofErr w:type="gramStart"/>
      <w:r>
        <w:t>exclusions</w:t>
      </w:r>
      <w:proofErr w:type="gramEnd"/>
      <w:r>
        <w:t xml:space="preserve"> entry. </w:t>
      </w:r>
    </w:p>
    <w:p w:rsidR="00C66DF3" w:rsidRDefault="00C66DF3">
      <w:pPr>
        <w:numPr>
          <w:ilvl w:val="1"/>
          <w:numId w:val="19"/>
        </w:numPr>
      </w:pPr>
      <w:r>
        <w:t xml:space="preserve">New option to exclude obsolete/inactive titles from the title list. </w:t>
      </w:r>
    </w:p>
    <w:p w:rsidR="00C66DF3" w:rsidRDefault="00C66DF3"/>
    <w:p w:rsidR="00C66DF3" w:rsidRDefault="00C66DF3">
      <w:pPr>
        <w:ind w:left="720" w:firstLine="720"/>
      </w:pPr>
      <w:r>
        <w:pict>
          <v:shape id="_x0000_i1052" type="#_x0000_t75" style="width:204.45pt;height:1in">
            <v:imagedata r:id="rId35" o:title=""/>
          </v:shape>
        </w:pict>
      </w:r>
    </w:p>
    <w:p w:rsidR="00C66DF3" w:rsidRDefault="00C66DF3"/>
    <w:p w:rsidR="00C66DF3" w:rsidRDefault="00C66DF3">
      <w:pPr>
        <w:rPr>
          <w:b/>
          <w:u w:val="single"/>
        </w:rPr>
      </w:pPr>
      <w:r>
        <w:rPr>
          <w:b/>
          <w:u w:val="single"/>
        </w:rPr>
        <w:t>2006-04-03</w:t>
      </w:r>
    </w:p>
    <w:p w:rsidR="00C66DF3" w:rsidRDefault="00C66DF3">
      <w:pPr>
        <w:numPr>
          <w:ilvl w:val="0"/>
          <w:numId w:val="17"/>
        </w:numPr>
      </w:pPr>
      <w:r>
        <w:t>(</w:t>
      </w:r>
      <w:proofErr w:type="gramStart"/>
      <w:r>
        <w:t>patch</w:t>
      </w:r>
      <w:proofErr w:type="gramEnd"/>
      <w:r>
        <w:t xml:space="preserve"> only to 2006-03-30) Popup message when creating a new Availability report, “You tried to assign a null value”</w:t>
      </w:r>
    </w:p>
    <w:p w:rsidR="00C66DF3" w:rsidRDefault="00C66DF3">
      <w:pPr>
        <w:rPr>
          <w:b/>
          <w:u w:val="single"/>
        </w:rPr>
      </w:pPr>
    </w:p>
    <w:p w:rsidR="00C66DF3" w:rsidRDefault="00C66DF3">
      <w:pPr>
        <w:rPr>
          <w:b/>
          <w:u w:val="single"/>
        </w:rPr>
      </w:pPr>
      <w:r>
        <w:rPr>
          <w:b/>
          <w:u w:val="single"/>
        </w:rPr>
        <w:t>2006-03-30</w:t>
      </w:r>
    </w:p>
    <w:p w:rsidR="00C66DF3" w:rsidRDefault="00C66DF3">
      <w:pPr>
        <w:rPr>
          <w:b/>
          <w:u w:val="single"/>
        </w:rPr>
      </w:pPr>
    </w:p>
    <w:p w:rsidR="00C66DF3" w:rsidRDefault="00C66DF3">
      <w:pPr>
        <w:numPr>
          <w:ilvl w:val="0"/>
          <w:numId w:val="16"/>
        </w:numPr>
      </w:pPr>
      <w:r>
        <w:t xml:space="preserve">Comet availability reports has new option to show the Program Format in a separate column. </w:t>
      </w:r>
    </w:p>
    <w:p w:rsidR="00C66DF3" w:rsidRDefault="00C66DF3">
      <w:pPr>
        <w:rPr>
          <w:b/>
          <w:u w:val="single"/>
        </w:rPr>
      </w:pPr>
    </w:p>
    <w:p w:rsidR="00C66DF3" w:rsidRDefault="00C66DF3">
      <w:pPr>
        <w:rPr>
          <w:b/>
          <w:u w:val="single"/>
        </w:rPr>
      </w:pPr>
      <w:r>
        <w:rPr>
          <w:b/>
          <w:u w:val="single"/>
        </w:rPr>
        <w:pict>
          <v:shape id="_x0000_i1053" type="#_x0000_t75" style="width:341pt;height:318.55pt">
            <v:imagedata r:id="rId36" o:title=""/>
          </v:shape>
        </w:pict>
      </w:r>
    </w:p>
    <w:p w:rsidR="00C66DF3" w:rsidRDefault="00C66DF3">
      <w:pPr>
        <w:rPr>
          <w:b/>
          <w:u w:val="single"/>
        </w:rPr>
      </w:pPr>
    </w:p>
    <w:p w:rsidR="00C66DF3" w:rsidRDefault="00C66DF3">
      <w:r>
        <w:t xml:space="preserve">Comet availability Report has new option to show the talent information in a separate column (just to the right of synopsis). </w:t>
      </w:r>
    </w:p>
    <w:p w:rsidR="00C66DF3" w:rsidRDefault="00C66DF3">
      <w:pPr>
        <w:rPr>
          <w:b/>
          <w:u w:val="single"/>
        </w:rPr>
      </w:pPr>
      <w:r>
        <w:rPr>
          <w:b/>
          <w:u w:val="single"/>
        </w:rPr>
        <w:pict>
          <v:shape id="_x0000_i1054" type="#_x0000_t75" style="width:365.45pt;height:251.3pt">
            <v:imagedata r:id="rId37" o:title=""/>
          </v:shape>
        </w:pict>
      </w:r>
    </w:p>
    <w:p w:rsidR="00C66DF3" w:rsidRDefault="00C66DF3">
      <w:pPr>
        <w:rPr>
          <w:b/>
          <w:u w:val="single"/>
        </w:rPr>
      </w:pPr>
    </w:p>
    <w:p w:rsidR="00C66DF3" w:rsidRDefault="00C66DF3">
      <w:r>
        <w:t xml:space="preserve">Source of talent information is from Title Setup, Talent/Credit, </w:t>
      </w:r>
      <w:proofErr w:type="gramStart"/>
      <w:r>
        <w:t>Comments</w:t>
      </w:r>
      <w:proofErr w:type="gramEnd"/>
      <w:r>
        <w:t xml:space="preserve"> box. </w:t>
      </w:r>
    </w:p>
    <w:p w:rsidR="00C66DF3" w:rsidRDefault="00C66DF3">
      <w:pPr>
        <w:rPr>
          <w:b/>
          <w:u w:val="single"/>
        </w:rPr>
      </w:pPr>
    </w:p>
    <w:p w:rsidR="00C66DF3" w:rsidRDefault="00C66DF3">
      <w:pPr>
        <w:rPr>
          <w:b/>
          <w:u w:val="single"/>
        </w:rPr>
      </w:pPr>
      <w:r>
        <w:rPr>
          <w:b/>
          <w:u w:val="single"/>
        </w:rPr>
        <w:pict>
          <v:shape id="_x0000_i1055" type="#_x0000_t75" style="width:420.45pt;height:254.7pt">
            <v:imagedata r:id="rId38" o:title=""/>
          </v:shape>
        </w:pict>
      </w:r>
    </w:p>
    <w:p w:rsidR="00C66DF3" w:rsidRDefault="00C66DF3">
      <w:pPr>
        <w:rPr>
          <w:b/>
          <w:u w:val="single"/>
        </w:rPr>
      </w:pPr>
    </w:p>
    <w:p w:rsidR="00C66DF3" w:rsidRDefault="00C66DF3">
      <w:pPr>
        <w:rPr>
          <w:b/>
          <w:u w:val="single"/>
        </w:rPr>
      </w:pPr>
      <w:r>
        <w:rPr>
          <w:b/>
          <w:u w:val="single"/>
        </w:rPr>
        <w:t>2006-03-29</w:t>
      </w:r>
    </w:p>
    <w:p w:rsidR="00C66DF3" w:rsidRDefault="00C66DF3">
      <w:pPr>
        <w:rPr>
          <w:b/>
          <w:u w:val="single"/>
        </w:rPr>
      </w:pPr>
    </w:p>
    <w:p w:rsidR="00C66DF3" w:rsidRDefault="00C66DF3">
      <w:pPr>
        <w:numPr>
          <w:ilvl w:val="0"/>
          <w:numId w:val="15"/>
        </w:numPr>
      </w:pPr>
      <w:r>
        <w:t>Comet has option to show availability report condensed format either as date “</w:t>
      </w:r>
      <w:smartTag w:uri="urn:schemas-microsoft-com:office:smarttags" w:element="date">
        <w:smartTagPr>
          <w:attr w:name="Month" w:val="11"/>
          <w:attr w:name="Day" w:val="23"/>
          <w:attr w:name="Year" w:val="2008"/>
        </w:smartTagPr>
        <w:r>
          <w:t>23-Nov-2008</w:t>
        </w:r>
      </w:smartTag>
      <w:r>
        <w:t xml:space="preserve">” or “Available </w:t>
      </w:r>
      <w:proofErr w:type="gramStart"/>
      <w:r>
        <w:t>On</w:t>
      </w:r>
      <w:proofErr w:type="gramEnd"/>
      <w:r>
        <w:t xml:space="preserve"> “</w:t>
      </w:r>
      <w:smartTag w:uri="urn:schemas-microsoft-com:office:smarttags" w:element="date">
        <w:smartTagPr>
          <w:attr w:name="Month" w:val="11"/>
          <w:attr w:name="Day" w:val="23"/>
          <w:attr w:name="Year" w:val="2008"/>
        </w:smartTagPr>
        <w:r>
          <w:t>23-Nov-2008</w:t>
        </w:r>
      </w:smartTag>
      <w:r>
        <w:t>” using checkbox “Show “Avail On [Date] instead of date only</w:t>
      </w:r>
    </w:p>
    <w:p w:rsidR="00C66DF3" w:rsidRDefault="00C66DF3">
      <w:pPr>
        <w:rPr>
          <w:b/>
          <w:u w:val="single"/>
        </w:rPr>
      </w:pPr>
    </w:p>
    <w:p w:rsidR="00C66DF3" w:rsidRDefault="00C66DF3">
      <w:pPr>
        <w:ind w:firstLine="720"/>
        <w:rPr>
          <w:b/>
          <w:u w:val="single"/>
        </w:rPr>
      </w:pPr>
      <w:r>
        <w:rPr>
          <w:b/>
          <w:u w:val="single"/>
        </w:rPr>
        <w:pict>
          <v:shape id="_x0000_i1056" type="#_x0000_t75" style="width:191.55pt;height:62.5pt">
            <v:imagedata r:id="rId39" o:title=""/>
          </v:shape>
        </w:pict>
      </w:r>
    </w:p>
    <w:p w:rsidR="00C66DF3" w:rsidRDefault="00C66DF3">
      <w:pPr>
        <w:numPr>
          <w:ilvl w:val="0"/>
          <w:numId w:val="15"/>
        </w:numPr>
      </w:pPr>
      <w:r>
        <w:t>Numerous Budget/forecasting module changes and improvements documented separately</w:t>
      </w:r>
    </w:p>
    <w:p w:rsidR="00C66DF3" w:rsidRDefault="00C66DF3">
      <w:pPr>
        <w:rPr>
          <w:b/>
          <w:u w:val="single"/>
        </w:rPr>
      </w:pPr>
    </w:p>
    <w:p w:rsidR="00C66DF3" w:rsidRDefault="00C66DF3">
      <w:pPr>
        <w:rPr>
          <w:rFonts w:ascii="Arial" w:hAnsi="Arial" w:cs="Arial"/>
          <w:b/>
          <w:color w:val="000000"/>
          <w:sz w:val="20"/>
          <w:szCs w:val="20"/>
          <w:u w:val="single"/>
        </w:rPr>
      </w:pPr>
      <w:r>
        <w:rPr>
          <w:rFonts w:ascii="Arial" w:hAnsi="Arial" w:cs="Arial"/>
          <w:b/>
          <w:color w:val="000000"/>
          <w:sz w:val="20"/>
          <w:szCs w:val="20"/>
          <w:u w:val="single"/>
        </w:rPr>
        <w:t xml:space="preserve">2006-03-22b release </w:t>
      </w:r>
    </w:p>
    <w:p w:rsidR="00C66DF3" w:rsidRDefault="00C66DF3">
      <w:pPr>
        <w:numPr>
          <w:ilvl w:val="0"/>
          <w:numId w:val="14"/>
        </w:numPr>
        <w:rPr>
          <w:b/>
          <w:color w:val="000000"/>
          <w:u w:val="single"/>
        </w:rPr>
      </w:pPr>
      <w:r>
        <w:rPr>
          <w:rFonts w:ascii="Arial" w:hAnsi="Arial" w:cs="Arial"/>
          <w:color w:val="000000"/>
          <w:sz w:val="20"/>
          <w:szCs w:val="20"/>
        </w:rPr>
        <w:t>If the "Split into left/Right Panels" option is set on, Comet will sort down the left, then pick up on the top of the right (on the same page), and insert a page break in Excel for the number of rows per page, which is set as shown:</w:t>
      </w:r>
    </w:p>
    <w:p w:rsidR="00C66DF3" w:rsidRDefault="00C66DF3">
      <w:pPr>
        <w:rPr>
          <w:b/>
          <w:u w:val="single"/>
        </w:rPr>
      </w:pPr>
    </w:p>
    <w:p w:rsidR="00C66DF3" w:rsidRDefault="00C66DF3">
      <w:pPr>
        <w:rPr>
          <w:b/>
          <w:u w:val="single"/>
        </w:rPr>
      </w:pPr>
      <w:r>
        <w:rPr>
          <w:b/>
          <w:u w:val="single"/>
        </w:rPr>
        <w:pict>
          <v:shape id="_x0000_i1057" type="#_x0000_t75" style="width:289.35pt;height:189.5pt">
            <v:imagedata r:id="rId40" o:title=""/>
          </v:shape>
        </w:pict>
      </w:r>
    </w:p>
    <w:p w:rsidR="00C66DF3" w:rsidRDefault="00C66DF3">
      <w:pPr>
        <w:rPr>
          <w:b/>
          <w:u w:val="single"/>
        </w:rPr>
      </w:pPr>
    </w:p>
    <w:p w:rsidR="00C66DF3" w:rsidRDefault="00C66DF3">
      <w:pPr>
        <w:rPr>
          <w:b/>
          <w:u w:val="single"/>
        </w:rPr>
      </w:pPr>
    </w:p>
    <w:p w:rsidR="00C66DF3" w:rsidRDefault="00C66DF3">
      <w:pPr>
        <w:rPr>
          <w:b/>
          <w:u w:val="single"/>
        </w:rPr>
      </w:pPr>
      <w:r>
        <w:rPr>
          <w:b/>
          <w:u w:val="single"/>
        </w:rPr>
        <w:t>2006-03-22</w:t>
      </w:r>
    </w:p>
    <w:p w:rsidR="00C66DF3" w:rsidRDefault="00C66DF3">
      <w:pPr>
        <w:numPr>
          <w:ilvl w:val="0"/>
          <w:numId w:val="13"/>
        </w:numPr>
      </w:pPr>
      <w:r>
        <w:t xml:space="preserve">Previously, Comet would show Ask/Take pricing columns when selecting the “Show MG Columns”. Comet now lets user select if ask or take or both columns shown, independent of “Show MG Columns”. </w:t>
      </w:r>
    </w:p>
    <w:p w:rsidR="00C66DF3" w:rsidRDefault="00C66DF3">
      <w:pPr>
        <w:ind w:left="360"/>
      </w:pPr>
    </w:p>
    <w:p w:rsidR="00C66DF3" w:rsidRDefault="00C66DF3">
      <w:pPr>
        <w:ind w:left="360"/>
      </w:pPr>
      <w:r>
        <w:pict>
          <v:shape id="_x0000_i1058" type="#_x0000_t75" style="width:278.5pt;height:260.15pt">
            <v:imagedata r:id="rId41" o:title=""/>
          </v:shape>
        </w:pict>
      </w:r>
    </w:p>
    <w:p w:rsidR="00C66DF3" w:rsidRDefault="00C66DF3">
      <w:pPr>
        <w:rPr>
          <w:b/>
          <w:u w:val="single"/>
        </w:rPr>
      </w:pPr>
    </w:p>
    <w:p w:rsidR="00C66DF3" w:rsidRDefault="00C66DF3">
      <w:pPr>
        <w:numPr>
          <w:ilvl w:val="0"/>
          <w:numId w:val="13"/>
        </w:numPr>
      </w:pPr>
      <w:r>
        <w:t>Bug fix to show synopsis in format 1 availability reports</w:t>
      </w:r>
    </w:p>
    <w:p w:rsidR="00C66DF3" w:rsidRDefault="00C66DF3">
      <w:pPr>
        <w:rPr>
          <w:b/>
          <w:u w:val="single"/>
        </w:rPr>
      </w:pPr>
    </w:p>
    <w:p w:rsidR="00C66DF3" w:rsidRDefault="00C66DF3">
      <w:pPr>
        <w:rPr>
          <w:b/>
          <w:u w:val="single"/>
        </w:rPr>
      </w:pPr>
    </w:p>
    <w:p w:rsidR="00C66DF3" w:rsidRDefault="00C66DF3">
      <w:pPr>
        <w:rPr>
          <w:b/>
          <w:u w:val="single"/>
        </w:rPr>
      </w:pPr>
    </w:p>
    <w:p w:rsidR="00C66DF3" w:rsidRDefault="00C66DF3">
      <w:pPr>
        <w:rPr>
          <w:b/>
          <w:u w:val="single"/>
        </w:rPr>
      </w:pPr>
      <w:r>
        <w:rPr>
          <w:b/>
          <w:u w:val="single"/>
        </w:rPr>
        <w:t>2006-03-20</w:t>
      </w:r>
    </w:p>
    <w:p w:rsidR="00C66DF3" w:rsidRDefault="00C66DF3">
      <w:pPr>
        <w:numPr>
          <w:ilvl w:val="0"/>
          <w:numId w:val="12"/>
        </w:numPr>
      </w:pPr>
      <w:r>
        <w:t>Comet avail reports have option to show year of production (Avail by territory only)</w:t>
      </w:r>
    </w:p>
    <w:p w:rsidR="00C66DF3" w:rsidRDefault="00C66DF3">
      <w:pPr>
        <w:rPr>
          <w:b/>
          <w:u w:val="single"/>
        </w:rPr>
      </w:pPr>
    </w:p>
    <w:p w:rsidR="00C66DF3" w:rsidRDefault="00C66DF3">
      <w:pPr>
        <w:rPr>
          <w:b/>
          <w:u w:val="single"/>
        </w:rPr>
      </w:pPr>
      <w:r>
        <w:rPr>
          <w:b/>
          <w:u w:val="single"/>
        </w:rPr>
        <w:pict>
          <v:shape id="_x0000_i1059" type="#_x0000_t75" style="width:372.25pt;height:162.35pt">
            <v:imagedata r:id="rId42" o:title=""/>
          </v:shape>
        </w:pict>
      </w:r>
    </w:p>
    <w:p w:rsidR="00C66DF3" w:rsidRDefault="00C66DF3">
      <w:pPr>
        <w:rPr>
          <w:u w:val="single"/>
        </w:rPr>
      </w:pPr>
    </w:p>
    <w:p w:rsidR="00C66DF3" w:rsidRDefault="00C66DF3">
      <w:pPr>
        <w:numPr>
          <w:ilvl w:val="0"/>
          <w:numId w:val="12"/>
        </w:numPr>
      </w:pPr>
      <w:r>
        <w:t xml:space="preserve">The Show Genre column option has been re-located to the next column after the titles. </w:t>
      </w:r>
    </w:p>
    <w:p w:rsidR="00C66DF3" w:rsidRDefault="00C66DF3">
      <w:pPr>
        <w:numPr>
          <w:ilvl w:val="0"/>
          <w:numId w:val="12"/>
        </w:numPr>
      </w:pPr>
      <w:r>
        <w:t>Comet avail reports has option to take bottom half of avail report and move it to the right side, creating a split left/right column (Avail by territory only)</w:t>
      </w:r>
    </w:p>
    <w:p w:rsidR="00C66DF3" w:rsidRDefault="00C66DF3"/>
    <w:p w:rsidR="00C66DF3" w:rsidRDefault="00C66DF3">
      <w:r>
        <w:pict>
          <v:shape id="_x0000_i1060" type="#_x0000_t75" style="width:296.15pt;height:313.8pt">
            <v:imagedata r:id="rId43" o:title=""/>
          </v:shape>
        </w:pict>
      </w:r>
    </w:p>
    <w:p w:rsidR="00C66DF3" w:rsidRDefault="00C66DF3">
      <w:pPr>
        <w:rPr>
          <w:u w:val="single"/>
        </w:rPr>
      </w:pPr>
    </w:p>
    <w:p w:rsidR="00C66DF3" w:rsidRDefault="00C66DF3">
      <w:pPr>
        <w:rPr>
          <w:u w:val="single"/>
        </w:rPr>
      </w:pPr>
      <w:r>
        <w:rPr>
          <w:u w:val="single"/>
        </w:rPr>
        <w:t>Shown is an example of a split Availability Report:</w:t>
      </w:r>
    </w:p>
    <w:p w:rsidR="00C66DF3" w:rsidRDefault="00C66DF3">
      <w:pPr>
        <w:rPr>
          <w:u w:val="single"/>
        </w:rPr>
      </w:pPr>
      <w:r>
        <w:rPr>
          <w:u w:val="single"/>
        </w:rPr>
        <w:pict>
          <v:shape id="_x0000_i1061" type="#_x0000_t75" style="width:6in;height:126.35pt">
            <v:imagedata r:id="rId44" o:title=""/>
          </v:shape>
        </w:pict>
      </w:r>
    </w:p>
    <w:p w:rsidR="00C66DF3" w:rsidRDefault="00C66DF3">
      <w:pPr>
        <w:rPr>
          <w:u w:val="single"/>
        </w:rPr>
      </w:pPr>
    </w:p>
    <w:p w:rsidR="00C66DF3" w:rsidRDefault="00C66DF3">
      <w:pPr>
        <w:numPr>
          <w:ilvl w:val="0"/>
          <w:numId w:val="12"/>
        </w:numPr>
      </w:pPr>
      <w:r>
        <w:t>Comet avail by Territory report will pre-set the print area</w:t>
      </w:r>
    </w:p>
    <w:p w:rsidR="00C66DF3" w:rsidRDefault="00C66DF3">
      <w:pPr>
        <w:numPr>
          <w:ilvl w:val="0"/>
          <w:numId w:val="12"/>
        </w:numPr>
      </w:pPr>
      <w:r>
        <w:t xml:space="preserve">The Comet Title Setup holds the “Date Created” and “Created </w:t>
      </w:r>
      <w:proofErr w:type="gramStart"/>
      <w:r>
        <w:t>By</w:t>
      </w:r>
      <w:proofErr w:type="gramEnd"/>
      <w:r>
        <w:t>’ for new titles in the “System” tab.</w:t>
      </w:r>
    </w:p>
    <w:p w:rsidR="00C66DF3" w:rsidRDefault="00C66DF3">
      <w:pPr>
        <w:numPr>
          <w:ilvl w:val="0"/>
          <w:numId w:val="12"/>
        </w:numPr>
      </w:pPr>
      <w:r>
        <w:t xml:space="preserve">The Comet User Setup screen has option to re-assign all contracts to another salesperson. </w:t>
      </w:r>
    </w:p>
    <w:p w:rsidR="00C66DF3" w:rsidRDefault="00C66DF3">
      <w:pPr>
        <w:numPr>
          <w:ilvl w:val="0"/>
          <w:numId w:val="12"/>
        </w:numPr>
      </w:pPr>
      <w:r>
        <w:pict>
          <v:shape id="_x0000_i1062" type="#_x0000_t75" style="width:431.3pt;height:381.05pt">
            <v:imagedata r:id="rId45" o:title=""/>
          </v:shape>
        </w:pict>
      </w:r>
    </w:p>
    <w:p w:rsidR="00C66DF3" w:rsidRDefault="00C66DF3"/>
    <w:p w:rsidR="00C66DF3" w:rsidRDefault="00C66DF3">
      <w:pPr>
        <w:rPr>
          <w:u w:val="single"/>
        </w:rPr>
      </w:pPr>
    </w:p>
    <w:p w:rsidR="00C66DF3" w:rsidRDefault="00C66DF3">
      <w:pPr>
        <w:rPr>
          <w:b/>
          <w:u w:val="single"/>
        </w:rPr>
      </w:pPr>
      <w:r>
        <w:rPr>
          <w:b/>
          <w:u w:val="single"/>
        </w:rPr>
        <w:t>2006-03-01</w:t>
      </w:r>
    </w:p>
    <w:p w:rsidR="00C66DF3" w:rsidRDefault="00C66DF3"/>
    <w:p w:rsidR="00C66DF3" w:rsidRDefault="00C66DF3">
      <w:pPr>
        <w:numPr>
          <w:ilvl w:val="0"/>
          <w:numId w:val="10"/>
        </w:numPr>
      </w:pPr>
      <w:r>
        <w:t>Comet has new option to hyperlink the title name in the Excel avail reports by checking on the option shown below:</w:t>
      </w:r>
    </w:p>
    <w:p w:rsidR="00C66DF3" w:rsidRDefault="00C66DF3"/>
    <w:p w:rsidR="00C66DF3" w:rsidRDefault="00C66DF3">
      <w:r>
        <w:pict>
          <v:shape id="_x0000_i1063" type="#_x0000_t75" style="width:358.65pt;height:214.65pt">
            <v:imagedata r:id="rId46" o:title=""/>
          </v:shape>
        </w:pict>
      </w:r>
    </w:p>
    <w:p w:rsidR="00C66DF3" w:rsidRDefault="00C66DF3"/>
    <w:p w:rsidR="00C66DF3" w:rsidRDefault="00C66DF3">
      <w:pPr>
        <w:numPr>
          <w:ilvl w:val="0"/>
          <w:numId w:val="10"/>
        </w:numPr>
      </w:pPr>
      <w:r>
        <w:t xml:space="preserve">The column heading will show “(click to open website)”. </w:t>
      </w:r>
    </w:p>
    <w:p w:rsidR="00C66DF3" w:rsidRDefault="00C66DF3">
      <w:pPr>
        <w:rPr>
          <w:b/>
          <w:u w:val="single"/>
        </w:rPr>
      </w:pPr>
    </w:p>
    <w:p w:rsidR="00C66DF3" w:rsidRDefault="00C66DF3">
      <w:pPr>
        <w:rPr>
          <w:b/>
          <w:u w:val="single"/>
        </w:rPr>
      </w:pPr>
      <w:r>
        <w:rPr>
          <w:b/>
          <w:u w:val="single"/>
        </w:rPr>
        <w:pict>
          <v:shape id="_x0000_i1064" type="#_x0000_t75" style="width:292.1pt;height:427.25pt" o:bordertopcolor="this" o:borderleftcolor="this" o:borderbottomcolor="this" o:borderrightcolor="this">
            <v:imagedata r:id="rId47" o:title=""/>
            <w10:bordertop type="single" width="4"/>
            <w10:borderleft type="single" width="4"/>
            <w10:borderbottom type="single" width="4"/>
            <w10:borderright type="single" width="4"/>
          </v:shape>
        </w:pict>
      </w:r>
    </w:p>
    <w:p w:rsidR="00C66DF3" w:rsidRDefault="00C66DF3">
      <w:pPr>
        <w:rPr>
          <w:b/>
          <w:u w:val="single"/>
        </w:rPr>
      </w:pPr>
    </w:p>
    <w:p w:rsidR="00C66DF3" w:rsidRDefault="00C66DF3">
      <w:pPr>
        <w:numPr>
          <w:ilvl w:val="0"/>
          <w:numId w:val="10"/>
        </w:numPr>
      </w:pPr>
      <w:r>
        <w:t xml:space="preserve">The source of the hyperlink is from the Title </w:t>
      </w:r>
      <w:proofErr w:type="gramStart"/>
      <w:r>
        <w:t>Setup,  Hyperlinks</w:t>
      </w:r>
      <w:proofErr w:type="gramEnd"/>
      <w:r>
        <w:t xml:space="preserve">  tab where the Avail Report Hyperlink checkbox set on.  If more than one link has the checkbox on, Comet will use the most recent entered. </w:t>
      </w:r>
    </w:p>
    <w:p w:rsidR="00C66DF3" w:rsidRDefault="00C66DF3">
      <w:pPr>
        <w:rPr>
          <w:b/>
          <w:u w:val="single"/>
        </w:rPr>
      </w:pPr>
    </w:p>
    <w:p w:rsidR="00C66DF3" w:rsidRDefault="00C66DF3">
      <w:pPr>
        <w:rPr>
          <w:b/>
          <w:u w:val="single"/>
        </w:rPr>
      </w:pPr>
      <w:r>
        <w:rPr>
          <w:b/>
          <w:u w:val="single"/>
        </w:rPr>
        <w:pict>
          <v:shape id="_x0000_i1065" type="#_x0000_t75" style="width:431.3pt;height:283.25pt">
            <v:imagedata r:id="rId48" o:title=""/>
          </v:shape>
        </w:pict>
      </w:r>
    </w:p>
    <w:p w:rsidR="00C66DF3" w:rsidRDefault="00C66DF3">
      <w:pPr>
        <w:rPr>
          <w:b/>
          <w:u w:val="single"/>
        </w:rPr>
      </w:pPr>
    </w:p>
    <w:p w:rsidR="00C66DF3" w:rsidRDefault="00C66DF3">
      <w:pPr>
        <w:numPr>
          <w:ilvl w:val="0"/>
          <w:numId w:val="11"/>
        </w:numPr>
      </w:pPr>
      <w:r>
        <w:t xml:space="preserve">Comet has a new Group Administration screen, where the titles belonging to a group are shown, and the group members may be added to or deleted.  The screen can be opened from the Title Setup screen, Group membership tab. </w:t>
      </w:r>
    </w:p>
    <w:p w:rsidR="00C66DF3" w:rsidRDefault="00C66DF3"/>
    <w:p w:rsidR="00C66DF3" w:rsidRDefault="00C66DF3">
      <w:r>
        <w:pict>
          <v:shape id="_x0000_i1066" type="#_x0000_t75" style="width:6in;height:305pt">
            <v:imagedata r:id="rId49" o:title=""/>
          </v:shape>
        </w:pict>
      </w:r>
    </w:p>
    <w:p w:rsidR="00C66DF3" w:rsidRDefault="00C66DF3"/>
    <w:p w:rsidR="00C66DF3" w:rsidRDefault="00C66DF3">
      <w:pPr>
        <w:rPr>
          <w:b/>
          <w:u w:val="single"/>
        </w:rPr>
      </w:pPr>
    </w:p>
    <w:p w:rsidR="00C66DF3" w:rsidRDefault="00C66DF3">
      <w:pPr>
        <w:rPr>
          <w:b/>
          <w:u w:val="single"/>
        </w:rPr>
      </w:pPr>
    </w:p>
    <w:p w:rsidR="00C66DF3" w:rsidRDefault="00C66DF3">
      <w:pPr>
        <w:rPr>
          <w:b/>
          <w:u w:val="single"/>
        </w:rPr>
      </w:pPr>
      <w:r>
        <w:rPr>
          <w:b/>
          <w:u w:val="single"/>
        </w:rPr>
        <w:t>2006-02-28</w:t>
      </w:r>
    </w:p>
    <w:p w:rsidR="00C66DF3" w:rsidRDefault="00C66DF3">
      <w:pPr>
        <w:rPr>
          <w:b/>
          <w:u w:val="single"/>
        </w:rPr>
      </w:pPr>
    </w:p>
    <w:p w:rsidR="00C66DF3" w:rsidRDefault="00C66DF3">
      <w:pPr>
        <w:numPr>
          <w:ilvl w:val="0"/>
          <w:numId w:val="8"/>
        </w:numPr>
        <w:rPr>
          <w:b/>
          <w:u w:val="single"/>
        </w:rPr>
      </w:pPr>
      <w:r>
        <w:t>Comet Availability reports have a setting to prevent edits users other than the report creator:</w:t>
      </w:r>
    </w:p>
    <w:p w:rsidR="00C66DF3" w:rsidRDefault="00C66DF3">
      <w:pPr>
        <w:ind w:left="360"/>
        <w:rPr>
          <w:b/>
          <w:u w:val="single"/>
        </w:rPr>
      </w:pPr>
    </w:p>
    <w:p w:rsidR="00C66DF3" w:rsidRDefault="00C66DF3">
      <w:pPr>
        <w:ind w:firstLine="720"/>
        <w:rPr>
          <w:b/>
          <w:u w:val="single"/>
        </w:rPr>
      </w:pPr>
      <w:r>
        <w:rPr>
          <w:b/>
          <w:u w:val="single"/>
        </w:rPr>
        <w:pict>
          <v:shape id="_x0000_i1067" type="#_x0000_t75" style="width:273.05pt;height:92.4pt">
            <v:imagedata r:id="rId50" o:title=""/>
          </v:shape>
        </w:pict>
      </w:r>
    </w:p>
    <w:p w:rsidR="00C66DF3" w:rsidRDefault="00C66DF3">
      <w:pPr>
        <w:rPr>
          <w:b/>
          <w:u w:val="single"/>
        </w:rPr>
      </w:pPr>
    </w:p>
    <w:p w:rsidR="00C66DF3" w:rsidRDefault="00C66DF3">
      <w:pPr>
        <w:numPr>
          <w:ilvl w:val="0"/>
          <w:numId w:val="8"/>
        </w:numPr>
      </w:pPr>
      <w:r>
        <w:t xml:space="preserve">When running an avail report, Comet will warn if obsolete titles are included in the report. </w:t>
      </w:r>
    </w:p>
    <w:p w:rsidR="00C66DF3" w:rsidRDefault="00C66DF3">
      <w:pPr>
        <w:numPr>
          <w:ilvl w:val="0"/>
          <w:numId w:val="8"/>
        </w:numPr>
      </w:pPr>
      <w:r>
        <w:t xml:space="preserve">3 new options added to system filter as shown below. </w:t>
      </w:r>
    </w:p>
    <w:p w:rsidR="00C66DF3" w:rsidRDefault="00C66DF3">
      <w:pPr>
        <w:numPr>
          <w:ilvl w:val="1"/>
          <w:numId w:val="8"/>
        </w:numPr>
      </w:pPr>
      <w:r>
        <w:t>Contract Execution Date range (blank includes all)</w:t>
      </w:r>
    </w:p>
    <w:p w:rsidR="00C66DF3" w:rsidRDefault="00C66DF3">
      <w:pPr>
        <w:numPr>
          <w:ilvl w:val="1"/>
          <w:numId w:val="8"/>
        </w:numPr>
      </w:pPr>
      <w:r>
        <w:t>Genre (in the Title setup)</w:t>
      </w:r>
    </w:p>
    <w:p w:rsidR="00C66DF3" w:rsidRDefault="00C66DF3">
      <w:pPr>
        <w:numPr>
          <w:ilvl w:val="1"/>
          <w:numId w:val="8"/>
        </w:numPr>
      </w:pPr>
      <w:r>
        <w:t>Delivery date range (Blank includes all)</w:t>
      </w:r>
    </w:p>
    <w:p w:rsidR="00C66DF3" w:rsidRDefault="00C66DF3">
      <w:pPr>
        <w:ind w:left="360"/>
      </w:pPr>
      <w:r>
        <w:pict>
          <v:shape id="_x0000_i1068" type="#_x0000_t75" style="width:431.3pt;height:264.25pt">
            <v:imagedata r:id="rId51" o:title=""/>
          </v:shape>
        </w:pict>
      </w:r>
    </w:p>
    <w:p w:rsidR="00C66DF3" w:rsidRDefault="00C66DF3"/>
    <w:p w:rsidR="00C66DF3" w:rsidRDefault="00C66DF3">
      <w:pPr>
        <w:numPr>
          <w:ilvl w:val="0"/>
          <w:numId w:val="9"/>
        </w:numPr>
      </w:pPr>
      <w:r>
        <w:t xml:space="preserve">Column heading alignment problem fixed with avail report using 5-column pricing with realistic price column. </w:t>
      </w:r>
    </w:p>
    <w:p w:rsidR="00C66DF3" w:rsidRDefault="00C66DF3">
      <w:pPr>
        <w:numPr>
          <w:ilvl w:val="0"/>
          <w:numId w:val="9"/>
        </w:numPr>
      </w:pPr>
      <w:r>
        <w:t xml:space="preserve">Possible month calculation error on contract level event-only based license term for the second event fixed.  Problem could occur with a rare combination of circumstances. </w:t>
      </w:r>
    </w:p>
    <w:p w:rsidR="00C66DF3" w:rsidRDefault="00C66DF3">
      <w:pPr>
        <w:numPr>
          <w:ilvl w:val="0"/>
          <w:numId w:val="9"/>
        </w:numPr>
      </w:pPr>
      <w:r>
        <w:t xml:space="preserve">Comet has two new availability report options, available on the Format 1 tab. </w:t>
      </w:r>
    </w:p>
    <w:p w:rsidR="00C66DF3" w:rsidRDefault="00C66DF3">
      <w:pPr>
        <w:numPr>
          <w:ilvl w:val="1"/>
          <w:numId w:val="9"/>
        </w:numPr>
      </w:pPr>
      <w:r>
        <w:t xml:space="preserve">Show Genre in New Column </w:t>
      </w:r>
    </w:p>
    <w:p w:rsidR="00C66DF3" w:rsidRDefault="00C66DF3">
      <w:pPr>
        <w:numPr>
          <w:ilvl w:val="1"/>
          <w:numId w:val="9"/>
        </w:numPr>
      </w:pPr>
      <w:r>
        <w:t>Show Title Groups column (this shows the title groups in a separate column on the availability report)</w:t>
      </w:r>
    </w:p>
    <w:p w:rsidR="00C66DF3" w:rsidRDefault="00C66DF3">
      <w:pPr>
        <w:ind w:left="1800"/>
      </w:pPr>
    </w:p>
    <w:p w:rsidR="00C66DF3" w:rsidRDefault="00C66DF3">
      <w:pPr>
        <w:ind w:left="1800"/>
      </w:pPr>
      <w:r>
        <w:t xml:space="preserve">These options are only shown on the Avail by Territory report, excluding the condensed Client version and excluding the multi-territory and the </w:t>
      </w:r>
      <w:proofErr w:type="gramStart"/>
      <w:r>
        <w:t>5 column</w:t>
      </w:r>
      <w:proofErr w:type="gramEnd"/>
      <w:r>
        <w:t xml:space="preserve"> pricing avail report. </w:t>
      </w:r>
    </w:p>
    <w:p w:rsidR="00C66DF3" w:rsidRDefault="00C66DF3">
      <w:pPr>
        <w:ind w:left="1800"/>
      </w:pPr>
    </w:p>
    <w:p w:rsidR="00C66DF3" w:rsidRDefault="00C66DF3">
      <w:pPr>
        <w:ind w:left="1800"/>
      </w:pPr>
      <w:r>
        <w:t xml:space="preserve">Users can select what groups are shown on the avail report by checking on the checkboxes shown. The checkboxes on the left side will be the default setting when adding groups to the title. </w:t>
      </w:r>
    </w:p>
    <w:p w:rsidR="00C66DF3" w:rsidRDefault="00C66DF3">
      <w:pPr>
        <w:ind w:left="1800"/>
      </w:pPr>
      <w:r>
        <w:pict>
          <v:shape id="_x0000_i1069" type="#_x0000_t75" style="width:6in;height:305pt">
            <v:imagedata r:id="rId52" o:title=""/>
          </v:shape>
        </w:pict>
      </w:r>
    </w:p>
    <w:p w:rsidR="00C66DF3" w:rsidRDefault="00C66DF3"/>
    <w:p w:rsidR="00C66DF3" w:rsidRDefault="00C66DF3"/>
    <w:p w:rsidR="00C66DF3" w:rsidRDefault="00C66DF3">
      <w:pPr>
        <w:rPr>
          <w:b/>
          <w:u w:val="single"/>
        </w:rPr>
      </w:pPr>
      <w:r>
        <w:rPr>
          <w:b/>
          <w:u w:val="single"/>
        </w:rPr>
        <w:t>2006-02-12</w:t>
      </w:r>
    </w:p>
    <w:p w:rsidR="00C66DF3" w:rsidRDefault="00C66DF3">
      <w:pPr>
        <w:numPr>
          <w:ilvl w:val="0"/>
          <w:numId w:val="7"/>
        </w:numPr>
      </w:pPr>
      <w:r>
        <w:t xml:space="preserve">Various improvements to the Budget and forecasting module and the Long Form module, to be documented </w:t>
      </w:r>
      <w:proofErr w:type="gramStart"/>
      <w:r>
        <w:t>at a later date</w:t>
      </w:r>
      <w:proofErr w:type="gramEnd"/>
      <w:r>
        <w:t xml:space="preserve">. </w:t>
      </w:r>
    </w:p>
    <w:p w:rsidR="00C66DF3" w:rsidRDefault="00C66DF3">
      <w:pPr>
        <w:rPr>
          <w:b/>
          <w:u w:val="single"/>
        </w:rPr>
      </w:pPr>
    </w:p>
    <w:p w:rsidR="00C66DF3" w:rsidRDefault="00C66DF3">
      <w:pPr>
        <w:rPr>
          <w:b/>
          <w:u w:val="single"/>
        </w:rPr>
      </w:pPr>
      <w:r>
        <w:rPr>
          <w:b/>
          <w:u w:val="single"/>
        </w:rPr>
        <w:t>2006-02-02</w:t>
      </w:r>
    </w:p>
    <w:p w:rsidR="00C66DF3" w:rsidRDefault="00C66DF3">
      <w:pPr>
        <w:numPr>
          <w:ilvl w:val="0"/>
          <w:numId w:val="6"/>
        </w:numPr>
      </w:pPr>
      <w:r>
        <w:t>Avail report 2 report by territory, portrait, shows territory on top of each page</w:t>
      </w:r>
    </w:p>
    <w:p w:rsidR="00C66DF3" w:rsidRDefault="00C66DF3">
      <w:pPr>
        <w:numPr>
          <w:ilvl w:val="0"/>
          <w:numId w:val="6"/>
        </w:numPr>
      </w:pPr>
      <w:r>
        <w:t xml:space="preserve">Avail report, format 2 allows changing rights shown information on “Format 2” tab section and re-print or preview on the “Format 2 Reports” tab without re-computing all report information. </w:t>
      </w:r>
    </w:p>
    <w:p w:rsidR="00C66DF3" w:rsidRDefault="00C66DF3">
      <w:pPr>
        <w:numPr>
          <w:ilvl w:val="0"/>
          <w:numId w:val="6"/>
        </w:numPr>
      </w:pPr>
      <w:r>
        <w:t xml:space="preserve">Avail report format 2 contact information footer does not show “*success*” when no address is entered. </w:t>
      </w:r>
    </w:p>
    <w:p w:rsidR="00C66DF3" w:rsidRDefault="00C66DF3">
      <w:pPr>
        <w:numPr>
          <w:ilvl w:val="0"/>
          <w:numId w:val="6"/>
        </w:numPr>
      </w:pPr>
      <w:r>
        <w:t xml:space="preserve">The detailed license fee invoice footer shown at the end of the invoice is now a user-definable value, which can be set (or deleted) in “Advanced Settings”, Server, System as the “Invoice Footer” value. It will default to </w:t>
      </w:r>
      <w:r>
        <w:rPr>
          <w:i/>
        </w:rPr>
        <w:t>“Invoices are due for payment not later than 30 days from invoice date unless otherwise stated.  Interest will be charged at 1.5% per month on late payments.”</w:t>
      </w:r>
    </w:p>
    <w:p w:rsidR="00C66DF3" w:rsidRDefault="00C66DF3">
      <w:pPr>
        <w:numPr>
          <w:ilvl w:val="0"/>
          <w:numId w:val="6"/>
        </w:numPr>
      </w:pPr>
      <w:r>
        <w:t xml:space="preserve">Comet has new feature to automatically assign license fees based on pre-entered weights for a weighted average. The weights are entered in the title setup as shown.  The pricing will be proportional to the weight. The weights may be in a user-defined range, </w:t>
      </w:r>
      <w:proofErr w:type="gramStart"/>
      <w:r>
        <w:t>e.g.</w:t>
      </w:r>
      <w:proofErr w:type="gramEnd"/>
      <w:r>
        <w:t xml:space="preserve"> 1-10.</w:t>
      </w:r>
    </w:p>
    <w:p w:rsidR="00C66DF3" w:rsidRDefault="00C66DF3">
      <w:pPr>
        <w:numPr>
          <w:ilvl w:val="0"/>
          <w:numId w:val="6"/>
        </w:numPr>
      </w:pPr>
      <w:r>
        <w:pict>
          <v:shape id="_x0000_i1070" type="#_x0000_t75" style="width:6in;height:249.95pt">
            <v:imagedata r:id="rId53" o:title=""/>
          </v:shape>
        </w:pict>
      </w:r>
    </w:p>
    <w:p w:rsidR="00C66DF3" w:rsidRDefault="00C66DF3">
      <w:pPr>
        <w:rPr>
          <w:u w:val="single"/>
        </w:rPr>
      </w:pPr>
    </w:p>
    <w:p w:rsidR="00C66DF3" w:rsidRDefault="00C66DF3">
      <w:pPr>
        <w:ind w:left="720"/>
        <w:rPr>
          <w:u w:val="single"/>
        </w:rPr>
      </w:pPr>
      <w:r>
        <w:t xml:space="preserve">To use the pricing feature, click on the auto-allocate button as shown. </w:t>
      </w:r>
      <w:r>
        <w:rPr>
          <w:u w:val="single"/>
        </w:rPr>
        <w:pict>
          <v:shape id="_x0000_i1071" type="#_x0000_t75" style="width:431.3pt;height:296.15pt">
            <v:imagedata r:id="rId54" o:title=""/>
          </v:shape>
        </w:pict>
      </w:r>
    </w:p>
    <w:p w:rsidR="00C66DF3" w:rsidRDefault="00C66DF3">
      <w:pPr>
        <w:ind w:left="720"/>
        <w:rPr>
          <w:u w:val="single"/>
        </w:rPr>
      </w:pPr>
    </w:p>
    <w:p w:rsidR="00C66DF3" w:rsidRDefault="00C66DF3">
      <w:pPr>
        <w:ind w:left="720"/>
      </w:pPr>
      <w:r>
        <w:t xml:space="preserve">Comet will prompt you for the total license fee in the contract currency. </w:t>
      </w:r>
    </w:p>
    <w:p w:rsidR="00C66DF3" w:rsidRDefault="00C66DF3">
      <w:pPr>
        <w:ind w:left="720"/>
        <w:rPr>
          <w:u w:val="single"/>
        </w:rPr>
      </w:pPr>
    </w:p>
    <w:p w:rsidR="00C66DF3" w:rsidRDefault="00C66DF3">
      <w:pPr>
        <w:ind w:left="720"/>
        <w:rPr>
          <w:u w:val="single"/>
        </w:rPr>
      </w:pPr>
      <w:r>
        <w:rPr>
          <w:u w:val="single"/>
        </w:rPr>
        <w:pict>
          <v:shape id="_x0000_i1072" type="#_x0000_t75" style="width:258.1pt;height:143.3pt">
            <v:imagedata r:id="rId55" o:title=""/>
          </v:shape>
        </w:pict>
      </w:r>
    </w:p>
    <w:p w:rsidR="00C66DF3" w:rsidRDefault="00C66DF3">
      <w:pPr>
        <w:ind w:left="720"/>
        <w:rPr>
          <w:u w:val="single"/>
        </w:rPr>
      </w:pPr>
    </w:p>
    <w:p w:rsidR="00C66DF3" w:rsidRDefault="00C66DF3">
      <w:pPr>
        <w:rPr>
          <w:u w:val="single"/>
        </w:rPr>
      </w:pPr>
    </w:p>
    <w:p w:rsidR="00C66DF3" w:rsidRDefault="00C66DF3">
      <w:pPr>
        <w:rPr>
          <w:b/>
          <w:u w:val="single"/>
        </w:rPr>
      </w:pPr>
    </w:p>
    <w:p w:rsidR="00C66DF3" w:rsidRDefault="00C66DF3">
      <w:pPr>
        <w:rPr>
          <w:b/>
          <w:u w:val="single"/>
        </w:rPr>
      </w:pPr>
      <w:r>
        <w:rPr>
          <w:b/>
          <w:u w:val="single"/>
        </w:rPr>
        <w:t>2006-01-25</w:t>
      </w:r>
    </w:p>
    <w:p w:rsidR="00C66DF3" w:rsidRDefault="00C66DF3">
      <w:pPr>
        <w:numPr>
          <w:ilvl w:val="0"/>
          <w:numId w:val="5"/>
        </w:numPr>
        <w:jc w:val="both"/>
      </w:pPr>
      <w:r>
        <w:t>Further improvements to format 2 availability reports</w:t>
      </w:r>
    </w:p>
    <w:p w:rsidR="00C66DF3" w:rsidRDefault="00C66DF3">
      <w:pPr>
        <w:numPr>
          <w:ilvl w:val="1"/>
          <w:numId w:val="5"/>
        </w:numPr>
        <w:jc w:val="both"/>
      </w:pPr>
      <w:r>
        <w:t xml:space="preserve">New option for user to decide how sub-right sales determine available/sold status.  If a right category is partially sold, a user may decide to show this status as “Available” or “Sold”. </w:t>
      </w:r>
    </w:p>
    <w:p w:rsidR="00C66DF3" w:rsidRDefault="00C66DF3">
      <w:pPr>
        <w:numPr>
          <w:ilvl w:val="1"/>
          <w:numId w:val="5"/>
        </w:numPr>
        <w:jc w:val="both"/>
      </w:pPr>
      <w:r>
        <w:t xml:space="preserve">New option to select if non-exclusive sales are shown as sold (unavailable status) or available. </w:t>
      </w:r>
    </w:p>
    <w:p w:rsidR="00C66DF3" w:rsidRDefault="00C66DF3">
      <w:pPr>
        <w:rPr>
          <w:b/>
          <w:u w:val="single"/>
        </w:rPr>
      </w:pPr>
      <w:r>
        <w:rPr>
          <w:b/>
          <w:u w:val="single"/>
        </w:rPr>
        <w:pict>
          <v:shape id="_x0000_i1073" type="#_x0000_t75" style="width:431.3pt;height:294.8pt">
            <v:imagedata r:id="rId56" o:title=""/>
          </v:shape>
        </w:pict>
      </w:r>
    </w:p>
    <w:p w:rsidR="00C66DF3" w:rsidRDefault="00C66DF3">
      <w:pPr>
        <w:rPr>
          <w:b/>
          <w:u w:val="single"/>
        </w:rPr>
      </w:pPr>
    </w:p>
    <w:p w:rsidR="00C66DF3" w:rsidRDefault="00C66DF3">
      <w:pPr>
        <w:rPr>
          <w:b/>
          <w:u w:val="single"/>
        </w:rPr>
      </w:pPr>
      <w:r>
        <w:rPr>
          <w:b/>
          <w:u w:val="single"/>
        </w:rPr>
        <w:t>2006-01-19</w:t>
      </w:r>
    </w:p>
    <w:p w:rsidR="00C66DF3" w:rsidRDefault="00C66DF3">
      <w:pPr>
        <w:numPr>
          <w:ilvl w:val="0"/>
          <w:numId w:val="4"/>
        </w:numPr>
      </w:pPr>
      <w:r>
        <w:t xml:space="preserve">Problem fixed with application of cash to grouped materials invoice, retroactively fixed for all existing (and future) grouped materials invoices. </w:t>
      </w:r>
    </w:p>
    <w:p w:rsidR="00C66DF3" w:rsidRDefault="00C66DF3">
      <w:pPr>
        <w:numPr>
          <w:ilvl w:val="0"/>
          <w:numId w:val="4"/>
        </w:numPr>
      </w:pPr>
      <w:r>
        <w:t>Avail report format 2-has option to show/not show program format</w:t>
      </w:r>
    </w:p>
    <w:p w:rsidR="00C66DF3" w:rsidRDefault="00C66DF3">
      <w:pPr>
        <w:numPr>
          <w:ilvl w:val="0"/>
          <w:numId w:val="4"/>
        </w:numPr>
      </w:pPr>
      <w:r>
        <w:t xml:space="preserve">Appearance improvements to Avail report format 2. </w:t>
      </w:r>
    </w:p>
    <w:p w:rsidR="00C66DF3" w:rsidRDefault="00C66DF3">
      <w:pPr>
        <w:numPr>
          <w:ilvl w:val="0"/>
          <w:numId w:val="4"/>
        </w:numPr>
      </w:pPr>
      <w:r>
        <w:t xml:space="preserve">Problem fixed re-printing multi-title invoice where previous description used. </w:t>
      </w:r>
    </w:p>
    <w:p w:rsidR="00C66DF3" w:rsidRDefault="00C66DF3">
      <w:pPr>
        <w:rPr>
          <w:b/>
          <w:u w:val="single"/>
        </w:rPr>
      </w:pPr>
    </w:p>
    <w:p w:rsidR="00C66DF3" w:rsidRDefault="00C66DF3">
      <w:pPr>
        <w:rPr>
          <w:b/>
          <w:u w:val="single"/>
        </w:rPr>
      </w:pPr>
    </w:p>
    <w:p w:rsidR="00C66DF3" w:rsidRDefault="00C66DF3">
      <w:pPr>
        <w:rPr>
          <w:b/>
          <w:u w:val="single"/>
        </w:rPr>
      </w:pPr>
      <w:r>
        <w:rPr>
          <w:b/>
          <w:u w:val="single"/>
        </w:rPr>
        <w:t>2006-01-17</w:t>
      </w:r>
    </w:p>
    <w:p w:rsidR="00C66DF3" w:rsidRDefault="00C66DF3">
      <w:pPr>
        <w:numPr>
          <w:ilvl w:val="0"/>
          <w:numId w:val="3"/>
        </w:numPr>
      </w:pPr>
      <w:r>
        <w:t xml:space="preserve">When running availability reports, option to show genre next to title not disabled when running Client-only condensed version. </w:t>
      </w:r>
    </w:p>
    <w:p w:rsidR="00C66DF3" w:rsidRDefault="00C66DF3">
      <w:pPr>
        <w:numPr>
          <w:ilvl w:val="0"/>
          <w:numId w:val="3"/>
        </w:numPr>
      </w:pPr>
      <w:r>
        <w:t xml:space="preserve">When deleting a contract, Comet prompts to delete linked producer reports or distribution statements. </w:t>
      </w:r>
    </w:p>
    <w:p w:rsidR="00C66DF3" w:rsidRDefault="00C66DF3">
      <w:pPr>
        <w:numPr>
          <w:ilvl w:val="0"/>
          <w:numId w:val="3"/>
        </w:numPr>
      </w:pPr>
      <w:r>
        <w:t xml:space="preserve">When starting up Comet, Comet will display a popup box containing the contents of the global system variable “InitialTextMessage”, set in Advanced Settings. If the setting is blank, no startup popup box will be displayed.  The “InitialTextMessage” also appears on the title bar of the contract display and the title bar of the Title Setup screen. This option is useful to set in report-only copies of Comet so the user is warned that any data changes will be lost.  </w:t>
      </w:r>
    </w:p>
    <w:p w:rsidR="00C66DF3" w:rsidRDefault="00C66DF3">
      <w:pPr>
        <w:numPr>
          <w:ilvl w:val="0"/>
          <w:numId w:val="3"/>
        </w:numPr>
      </w:pPr>
      <w:r>
        <w:t>“Report Requestor” added to availability report screen, shown on Avail reports format 2</w:t>
      </w:r>
    </w:p>
    <w:p w:rsidR="00C66DF3" w:rsidRDefault="00C66DF3">
      <w:pPr>
        <w:numPr>
          <w:ilvl w:val="0"/>
          <w:numId w:val="3"/>
        </w:numPr>
      </w:pPr>
      <w:r>
        <w:t>Fields added to Report 131, “Title Catalog reports”</w:t>
      </w:r>
    </w:p>
    <w:p w:rsidR="00C66DF3" w:rsidRDefault="00C66DF3">
      <w:pPr>
        <w:numPr>
          <w:ilvl w:val="1"/>
          <w:numId w:val="3"/>
        </w:numPr>
      </w:pPr>
      <w:r>
        <w:t>Cast/Talent</w:t>
      </w:r>
    </w:p>
    <w:p w:rsidR="00C66DF3" w:rsidRDefault="00C66DF3">
      <w:pPr>
        <w:numPr>
          <w:ilvl w:val="1"/>
          <w:numId w:val="3"/>
        </w:numPr>
      </w:pPr>
      <w:r>
        <w:t>Program Format</w:t>
      </w:r>
    </w:p>
    <w:p w:rsidR="00C66DF3" w:rsidRDefault="00C66DF3">
      <w:pPr>
        <w:numPr>
          <w:ilvl w:val="1"/>
          <w:numId w:val="3"/>
        </w:numPr>
      </w:pPr>
      <w:r>
        <w:t>Title Type</w:t>
      </w:r>
    </w:p>
    <w:p w:rsidR="00C66DF3" w:rsidRDefault="00C66DF3">
      <w:pPr>
        <w:ind w:left="1080"/>
      </w:pPr>
    </w:p>
    <w:p w:rsidR="00C66DF3" w:rsidRDefault="00C66DF3">
      <w:pPr>
        <w:numPr>
          <w:ilvl w:val="0"/>
          <w:numId w:val="3"/>
        </w:numPr>
        <w:rPr>
          <w:b/>
          <w:u w:val="single"/>
        </w:rPr>
      </w:pPr>
      <w:r>
        <w:t>Avail Report, Format1 no longer truncates the synopsis at 512 bytes</w:t>
      </w:r>
    </w:p>
    <w:p w:rsidR="00C66DF3" w:rsidRDefault="00C66DF3">
      <w:pPr>
        <w:numPr>
          <w:ilvl w:val="0"/>
          <w:numId w:val="3"/>
        </w:numPr>
        <w:rPr>
          <w:b/>
          <w:u w:val="single"/>
        </w:rPr>
      </w:pPr>
      <w:r>
        <w:t>New Word Merge field, “&lt;&lt;Distributor Contact&gt;&gt;” looks up customer contact name for Word long form agreements</w:t>
      </w:r>
    </w:p>
    <w:p w:rsidR="00C66DF3" w:rsidRDefault="00C66DF3">
      <w:pPr>
        <w:numPr>
          <w:ilvl w:val="0"/>
          <w:numId w:val="3"/>
        </w:numPr>
      </w:pPr>
      <w:r>
        <w:t xml:space="preserve">New field “Report Requester” on availability report settings (shown below). Appears in Avail Report Format 2. Also shown on Summary page of settings. </w:t>
      </w:r>
    </w:p>
    <w:p w:rsidR="00C66DF3" w:rsidRDefault="00C66DF3">
      <w:pPr>
        <w:numPr>
          <w:ilvl w:val="0"/>
          <w:numId w:val="3"/>
        </w:numPr>
      </w:pPr>
      <w:proofErr w:type="gramStart"/>
      <w:r>
        <w:t>New Availability Report Format 2 layout,</w:t>
      </w:r>
      <w:proofErr w:type="gramEnd"/>
      <w:r>
        <w:t xml:space="preserve"> “Combined” TV and theatrical. </w:t>
      </w:r>
    </w:p>
    <w:p w:rsidR="00C66DF3" w:rsidRDefault="00C66DF3">
      <w:pPr>
        <w:ind w:left="360"/>
      </w:pPr>
    </w:p>
    <w:p w:rsidR="00C66DF3" w:rsidRDefault="00C66DF3">
      <w:pPr>
        <w:ind w:left="360"/>
        <w:rPr>
          <w:b/>
          <w:u w:val="single"/>
        </w:rPr>
      </w:pPr>
      <w:r>
        <w:rPr>
          <w:b/>
          <w:u w:val="single"/>
        </w:rPr>
        <w:pict>
          <v:shape id="_x0000_i1074" type="#_x0000_t75" style="width:431.3pt;height:300.9pt">
            <v:imagedata r:id="rId57" o:title=""/>
          </v:shape>
        </w:pict>
      </w:r>
    </w:p>
    <w:p w:rsidR="00C66DF3" w:rsidRDefault="00C66DF3">
      <w:pPr>
        <w:rPr>
          <w:b/>
          <w:u w:val="single"/>
        </w:rPr>
      </w:pPr>
    </w:p>
    <w:p w:rsidR="00C66DF3" w:rsidRDefault="00C66DF3">
      <w:pPr>
        <w:ind w:left="360"/>
        <w:rPr>
          <w:b/>
          <w:u w:val="single"/>
        </w:rPr>
      </w:pPr>
      <w:r>
        <w:rPr>
          <w:b/>
          <w:u w:val="single"/>
        </w:rPr>
        <w:t>2006-01-03</w:t>
      </w:r>
    </w:p>
    <w:p w:rsidR="00C66DF3" w:rsidRDefault="00C66DF3">
      <w:pPr>
        <w:ind w:left="360"/>
      </w:pPr>
    </w:p>
    <w:p w:rsidR="00C66DF3" w:rsidRDefault="00C66DF3">
      <w:pPr>
        <w:numPr>
          <w:ilvl w:val="0"/>
          <w:numId w:val="1"/>
        </w:numPr>
      </w:pPr>
      <w:r>
        <w:t xml:space="preserve">When creating a rights-owned agreement from the title setup, source tab, Comet will check to see if there is an underlying agreement already in place for the title and prompt to open that agreement.  </w:t>
      </w:r>
    </w:p>
    <w:p w:rsidR="00C66DF3" w:rsidRDefault="00C66DF3">
      <w:pPr>
        <w:numPr>
          <w:ilvl w:val="0"/>
          <w:numId w:val="1"/>
        </w:numPr>
      </w:pPr>
      <w:r>
        <w:t xml:space="preserve">Problem fixed on source payments, where no payment terms entered resulting in error message of no description. </w:t>
      </w:r>
    </w:p>
    <w:p w:rsidR="00C66DF3" w:rsidRDefault="00C66DF3">
      <w:pPr>
        <w:numPr>
          <w:ilvl w:val="0"/>
          <w:numId w:val="1"/>
        </w:numPr>
      </w:pPr>
      <w:r>
        <w:t xml:space="preserve">Report #75, “Rights and Windows Expiring in a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r>
        <w:t xml:space="preserve">” has new contract type filter option: Sold rights, Owned Rights, or both. </w:t>
      </w:r>
    </w:p>
    <w:p w:rsidR="00C66DF3" w:rsidRDefault="00C66DF3">
      <w:pPr>
        <w:ind w:left="360"/>
      </w:pPr>
    </w:p>
    <w:p w:rsidR="00C66DF3" w:rsidRDefault="00C66DF3">
      <w:pPr>
        <w:ind w:left="360"/>
      </w:pPr>
      <w:r>
        <w:pict>
          <v:shape id="_x0000_i1075" type="#_x0000_t75" style="width:431.3pt;height:263.55pt">
            <v:imagedata r:id="rId58" o:title=""/>
          </v:shape>
        </w:pict>
      </w:r>
    </w:p>
    <w:p w:rsidR="00C66DF3" w:rsidRDefault="00C66DF3">
      <w:pPr>
        <w:numPr>
          <w:ilvl w:val="0"/>
          <w:numId w:val="2"/>
        </w:numPr>
      </w:pPr>
      <w:r>
        <w:t>When deleting a contract, Comet will prompt user to remove related contract administration tasks from the contract (</w:t>
      </w:r>
      <w:r>
        <w:t>if there are any</w:t>
      </w:r>
      <w:r>
        <w:t xml:space="preserve">) or fulfillment </w:t>
      </w:r>
      <w:proofErr w:type="gramStart"/>
      <w:r>
        <w:t>module, and</w:t>
      </w:r>
      <w:proofErr w:type="gramEnd"/>
      <w:r>
        <w:t xml:space="preserve"> delete them prior to deleting the contract to prevent referential integrity error message. </w:t>
      </w:r>
    </w:p>
    <w:p w:rsidR="00C66DF3" w:rsidRDefault="00C66DF3">
      <w:pPr>
        <w:ind w:left="360"/>
      </w:pPr>
    </w:p>
    <w:p w:rsidR="00C66DF3" w:rsidRDefault="00C66DF3">
      <w:pPr>
        <w:numPr>
          <w:ilvl w:val="0"/>
          <w:numId w:val="2"/>
        </w:numPr>
      </w:pPr>
      <w:r>
        <w:t>Availability report title selection screen improvements:</w:t>
      </w:r>
    </w:p>
    <w:p w:rsidR="00C66DF3" w:rsidRDefault="00C66DF3"/>
    <w:p w:rsidR="00C66DF3" w:rsidRDefault="00C66DF3">
      <w:pPr>
        <w:numPr>
          <w:ilvl w:val="1"/>
          <w:numId w:val="2"/>
        </w:numPr>
      </w:pPr>
      <w:r>
        <w:rPr>
          <w:color w:val="FF0000"/>
        </w:rPr>
        <w:t>1.</w:t>
      </w:r>
      <w:r>
        <w:t xml:space="preserve"> When the Individual Episodes/Clips radio button is set to “Hide”, Comet will only add “Features” and “Series” titles when the Add All button (shown with a “1.”) is clicked, as designated in the second column of the setup table “Title Types”, which may be reached by clicking on the drill button shown below in the title setup:</w:t>
      </w:r>
    </w:p>
    <w:p w:rsidR="00C66DF3" w:rsidRDefault="00C66DF3"/>
    <w:p w:rsidR="00C66DF3" w:rsidRDefault="00C66DF3">
      <w:r>
        <w:pict>
          <v:shape id="_x0000_i1076" type="#_x0000_t75" style="width:297.5pt;height:163.7pt">
            <v:imagedata r:id="rId59" o:title=""/>
          </v:shape>
        </w:pict>
      </w:r>
    </w:p>
    <w:p w:rsidR="00C66DF3" w:rsidRDefault="00C66DF3"/>
    <w:p w:rsidR="00C66DF3" w:rsidRDefault="00C66DF3">
      <w:r>
        <w:pict>
          <v:shape id="_x0000_i1077" type="#_x0000_t75" style="width:203.75pt;height:182.7pt">
            <v:imagedata r:id="rId60" o:title=""/>
          </v:shape>
        </w:pict>
      </w:r>
    </w:p>
    <w:p w:rsidR="00C66DF3" w:rsidRDefault="00C66DF3"/>
    <w:p w:rsidR="00C66DF3" w:rsidRDefault="00C66DF3">
      <w:pPr>
        <w:numPr>
          <w:ilvl w:val="1"/>
          <w:numId w:val="2"/>
        </w:numPr>
      </w:pPr>
      <w:r>
        <w:rPr>
          <w:color w:val="FF0000"/>
        </w:rPr>
        <w:t>2.</w:t>
      </w:r>
      <w:r>
        <w:t xml:space="preserve"> New Genre capability feature allows addition of a single Genre</w:t>
      </w:r>
    </w:p>
    <w:p w:rsidR="00C66DF3" w:rsidRDefault="00C66DF3">
      <w:pPr>
        <w:numPr>
          <w:ilvl w:val="1"/>
          <w:numId w:val="2"/>
        </w:numPr>
      </w:pPr>
      <w:r>
        <w:rPr>
          <w:color w:val="FF0000"/>
        </w:rPr>
        <w:t>3.</w:t>
      </w:r>
      <w:r>
        <w:t xml:space="preserve"> New “Remove Episodes/Clips” button removes all title types except for “Features” and “Series”, as defined in item 1 above. </w:t>
      </w:r>
    </w:p>
    <w:p w:rsidR="00C66DF3" w:rsidRDefault="00C66DF3">
      <w:pPr>
        <w:numPr>
          <w:ilvl w:val="1"/>
          <w:numId w:val="2"/>
        </w:numPr>
      </w:pPr>
      <w:r>
        <w:t xml:space="preserve">4. When adding a title group, obsolete/inactive titles are not added. </w:t>
      </w:r>
    </w:p>
    <w:p w:rsidR="00C66DF3" w:rsidRDefault="00C66DF3"/>
    <w:p w:rsidR="00C66DF3" w:rsidRDefault="00C66DF3"/>
    <w:p w:rsidR="00C66DF3" w:rsidRDefault="00C66DF3">
      <w:r>
        <w:pict>
          <v:shape id="_x0000_i1078" type="#_x0000_t75" style="width:431.3pt;height:306.35pt">
            <v:imagedata r:id="rId61" o:title=""/>
          </v:shape>
        </w:pict>
      </w:r>
    </w:p>
    <w:p w:rsidR="00C66DF3" w:rsidRDefault="00C66DF3"/>
    <w:p w:rsidR="00C66DF3" w:rsidRDefault="00C66DF3">
      <w:pPr>
        <w:rPr>
          <w:b/>
          <w:u w:val="single"/>
        </w:rPr>
      </w:pPr>
      <w:r>
        <w:rPr>
          <w:b/>
          <w:u w:val="single"/>
        </w:rPr>
        <w:t>Comet Changes in 2005:</w:t>
      </w:r>
    </w:p>
    <w:p w:rsidR="00C66DF3" w:rsidRDefault="00C66DF3">
      <w:hyperlink r:id="rId62" w:history="1">
        <w:r w:rsidR="00332292">
          <w:rPr>
            <w:rStyle w:val="Hyperlink"/>
          </w:rPr>
          <w:t>http://www.saturnsoftwareinc.com/CometSupportFiles/CometChangeLog2005.doc</w:t>
        </w:r>
      </w:hyperlink>
    </w:p>
    <w:p w:rsidR="00C66DF3" w:rsidRDefault="00C66DF3"/>
    <w:sectPr w:rsidR="00C66DF3">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4B"/>
    <w:multiLevelType w:val="hybridMultilevel"/>
    <w:tmpl w:val="30C8F0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AB52D4"/>
    <w:multiLevelType w:val="hybridMultilevel"/>
    <w:tmpl w:val="C17C6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F443E5"/>
    <w:multiLevelType w:val="hybridMultilevel"/>
    <w:tmpl w:val="C33EAC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2551A5"/>
    <w:multiLevelType w:val="multilevel"/>
    <w:tmpl w:val="1CD0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563448"/>
    <w:multiLevelType w:val="hybridMultilevel"/>
    <w:tmpl w:val="BDE0BD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CA7636"/>
    <w:multiLevelType w:val="hybridMultilevel"/>
    <w:tmpl w:val="F35EE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C15ADB"/>
    <w:multiLevelType w:val="hybridMultilevel"/>
    <w:tmpl w:val="A1B400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C260F3"/>
    <w:multiLevelType w:val="hybridMultilevel"/>
    <w:tmpl w:val="16A87B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7450A6B"/>
    <w:multiLevelType w:val="hybridMultilevel"/>
    <w:tmpl w:val="B22E1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690A18"/>
    <w:multiLevelType w:val="hybridMultilevel"/>
    <w:tmpl w:val="A9FCC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B80981"/>
    <w:multiLevelType w:val="hybridMultilevel"/>
    <w:tmpl w:val="8E165A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B5E53FD"/>
    <w:multiLevelType w:val="hybridMultilevel"/>
    <w:tmpl w:val="AC2200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E118D3"/>
    <w:multiLevelType w:val="hybridMultilevel"/>
    <w:tmpl w:val="F1EC6E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14274D"/>
    <w:multiLevelType w:val="hybridMultilevel"/>
    <w:tmpl w:val="CD724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D2D4B"/>
    <w:multiLevelType w:val="hybridMultilevel"/>
    <w:tmpl w:val="90660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ED6E42"/>
    <w:multiLevelType w:val="hybridMultilevel"/>
    <w:tmpl w:val="2E8E54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33161AE"/>
    <w:multiLevelType w:val="hybridMultilevel"/>
    <w:tmpl w:val="25A0C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3D46BB1"/>
    <w:multiLevelType w:val="hybridMultilevel"/>
    <w:tmpl w:val="5B6C924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4397D64"/>
    <w:multiLevelType w:val="hybridMultilevel"/>
    <w:tmpl w:val="793E9FD0"/>
    <w:lvl w:ilvl="0" w:tplc="3E42D0C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A6D04D0"/>
    <w:multiLevelType w:val="hybridMultilevel"/>
    <w:tmpl w:val="5DD88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D22E60"/>
    <w:multiLevelType w:val="hybridMultilevel"/>
    <w:tmpl w:val="A1BC50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1BA13894"/>
    <w:multiLevelType w:val="hybridMultilevel"/>
    <w:tmpl w:val="4ED22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B23D4B"/>
    <w:multiLevelType w:val="hybridMultilevel"/>
    <w:tmpl w:val="61D21E7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BB93A37"/>
    <w:multiLevelType w:val="hybridMultilevel"/>
    <w:tmpl w:val="D5F825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C14713E"/>
    <w:multiLevelType w:val="hybridMultilevel"/>
    <w:tmpl w:val="721867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E56160"/>
    <w:multiLevelType w:val="hybridMultilevel"/>
    <w:tmpl w:val="C180C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33313F"/>
    <w:multiLevelType w:val="hybridMultilevel"/>
    <w:tmpl w:val="E564A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C33B59"/>
    <w:multiLevelType w:val="hybridMultilevel"/>
    <w:tmpl w:val="10ACF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0E696B"/>
    <w:multiLevelType w:val="hybridMultilevel"/>
    <w:tmpl w:val="DCB82DA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60C5686"/>
    <w:multiLevelType w:val="hybridMultilevel"/>
    <w:tmpl w:val="C3AE7F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A8C7F6F"/>
    <w:multiLevelType w:val="hybridMultilevel"/>
    <w:tmpl w:val="974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0157AD"/>
    <w:multiLevelType w:val="hybridMultilevel"/>
    <w:tmpl w:val="850A59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D0A2392"/>
    <w:multiLevelType w:val="hybridMultilevel"/>
    <w:tmpl w:val="598A9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AA7E7C"/>
    <w:multiLevelType w:val="hybridMultilevel"/>
    <w:tmpl w:val="AF9A1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FD53EF2"/>
    <w:multiLevelType w:val="hybridMultilevel"/>
    <w:tmpl w:val="F96AF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1F95F5B"/>
    <w:multiLevelType w:val="hybridMultilevel"/>
    <w:tmpl w:val="DDD60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2715EEE"/>
    <w:multiLevelType w:val="hybridMultilevel"/>
    <w:tmpl w:val="EFF29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2907FFC"/>
    <w:multiLevelType w:val="hybridMultilevel"/>
    <w:tmpl w:val="948899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2E64D6F"/>
    <w:multiLevelType w:val="hybridMultilevel"/>
    <w:tmpl w:val="D862CF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5EE2448"/>
    <w:multiLevelType w:val="hybridMultilevel"/>
    <w:tmpl w:val="133095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66F0E5D"/>
    <w:multiLevelType w:val="hybridMultilevel"/>
    <w:tmpl w:val="8CF8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A65EEF"/>
    <w:multiLevelType w:val="hybridMultilevel"/>
    <w:tmpl w:val="6EBA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691F87"/>
    <w:multiLevelType w:val="hybridMultilevel"/>
    <w:tmpl w:val="B5B42C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D6346F5"/>
    <w:multiLevelType w:val="hybridMultilevel"/>
    <w:tmpl w:val="BB90F3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3DC3310A"/>
    <w:multiLevelType w:val="hybridMultilevel"/>
    <w:tmpl w:val="92B0F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EAE6283"/>
    <w:multiLevelType w:val="hybridMultilevel"/>
    <w:tmpl w:val="2DD6A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F1C4AD9"/>
    <w:multiLevelType w:val="hybridMultilevel"/>
    <w:tmpl w:val="3FFC0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577250A"/>
    <w:multiLevelType w:val="hybridMultilevel"/>
    <w:tmpl w:val="68864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7B22FB8"/>
    <w:multiLevelType w:val="hybridMultilevel"/>
    <w:tmpl w:val="B5C0F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E25E4C"/>
    <w:multiLevelType w:val="hybridMultilevel"/>
    <w:tmpl w:val="58682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9446AA3"/>
    <w:multiLevelType w:val="hybridMultilevel"/>
    <w:tmpl w:val="74D0D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FD323D2"/>
    <w:multiLevelType w:val="hybridMultilevel"/>
    <w:tmpl w:val="DBAC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E21783"/>
    <w:multiLevelType w:val="hybridMultilevel"/>
    <w:tmpl w:val="55447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7E363C6"/>
    <w:multiLevelType w:val="hybridMultilevel"/>
    <w:tmpl w:val="C1AC9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8B8426C"/>
    <w:multiLevelType w:val="hybridMultilevel"/>
    <w:tmpl w:val="2A5EE316"/>
    <w:lvl w:ilvl="0" w:tplc="3E42D0C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5A012D7E"/>
    <w:multiLevelType w:val="hybridMultilevel"/>
    <w:tmpl w:val="2EA264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4A27274"/>
    <w:multiLevelType w:val="hybridMultilevel"/>
    <w:tmpl w:val="2ADE13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6FC2B61"/>
    <w:multiLevelType w:val="hybridMultilevel"/>
    <w:tmpl w:val="D0CA4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91F1631"/>
    <w:multiLevelType w:val="hybridMultilevel"/>
    <w:tmpl w:val="0D14F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A64D58"/>
    <w:multiLevelType w:val="hybridMultilevel"/>
    <w:tmpl w:val="FF60C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823DC3"/>
    <w:multiLevelType w:val="hybridMultilevel"/>
    <w:tmpl w:val="4EBE68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EB271E4"/>
    <w:multiLevelType w:val="hybridMultilevel"/>
    <w:tmpl w:val="07D835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15C1B61"/>
    <w:multiLevelType w:val="hybridMultilevel"/>
    <w:tmpl w:val="1EE6C3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718726E1"/>
    <w:multiLevelType w:val="hybridMultilevel"/>
    <w:tmpl w:val="6CC670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2771A8F"/>
    <w:multiLevelType w:val="hybridMultilevel"/>
    <w:tmpl w:val="41781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2894915"/>
    <w:multiLevelType w:val="hybridMultilevel"/>
    <w:tmpl w:val="C156B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52720A0"/>
    <w:multiLevelType w:val="hybridMultilevel"/>
    <w:tmpl w:val="3BCED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7DA4112"/>
    <w:multiLevelType w:val="hybridMultilevel"/>
    <w:tmpl w:val="8EFE23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782D15E0"/>
    <w:multiLevelType w:val="hybridMultilevel"/>
    <w:tmpl w:val="A7FE5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84B31E0"/>
    <w:multiLevelType w:val="hybridMultilevel"/>
    <w:tmpl w:val="2DAA5D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CFC2082"/>
    <w:multiLevelType w:val="hybridMultilevel"/>
    <w:tmpl w:val="B44E8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7"/>
  </w:num>
  <w:num w:numId="2">
    <w:abstractNumId w:val="55"/>
  </w:num>
  <w:num w:numId="3">
    <w:abstractNumId w:val="42"/>
  </w:num>
  <w:num w:numId="4">
    <w:abstractNumId w:val="53"/>
  </w:num>
  <w:num w:numId="5">
    <w:abstractNumId w:val="28"/>
  </w:num>
  <w:num w:numId="6">
    <w:abstractNumId w:val="37"/>
  </w:num>
  <w:num w:numId="7">
    <w:abstractNumId w:val="10"/>
  </w:num>
  <w:num w:numId="8">
    <w:abstractNumId w:val="0"/>
  </w:num>
  <w:num w:numId="9">
    <w:abstractNumId w:val="17"/>
  </w:num>
  <w:num w:numId="10">
    <w:abstractNumId w:val="33"/>
  </w:num>
  <w:num w:numId="11">
    <w:abstractNumId w:val="13"/>
  </w:num>
  <w:num w:numId="12">
    <w:abstractNumId w:val="66"/>
  </w:num>
  <w:num w:numId="13">
    <w:abstractNumId w:val="61"/>
  </w:num>
  <w:num w:numId="14">
    <w:abstractNumId w:val="35"/>
  </w:num>
  <w:num w:numId="15">
    <w:abstractNumId w:val="19"/>
  </w:num>
  <w:num w:numId="16">
    <w:abstractNumId w:val="34"/>
  </w:num>
  <w:num w:numId="17">
    <w:abstractNumId w:val="64"/>
  </w:num>
  <w:num w:numId="18">
    <w:abstractNumId w:val="12"/>
  </w:num>
  <w:num w:numId="19">
    <w:abstractNumId w:val="39"/>
  </w:num>
  <w:num w:numId="20">
    <w:abstractNumId w:val="46"/>
  </w:num>
  <w:num w:numId="21">
    <w:abstractNumId w:val="2"/>
  </w:num>
  <w:num w:numId="22">
    <w:abstractNumId w:val="48"/>
  </w:num>
  <w:num w:numId="23">
    <w:abstractNumId w:val="1"/>
  </w:num>
  <w:num w:numId="24">
    <w:abstractNumId w:val="6"/>
  </w:num>
  <w:num w:numId="25">
    <w:abstractNumId w:val="32"/>
  </w:num>
  <w:num w:numId="26">
    <w:abstractNumId w:val="49"/>
  </w:num>
  <w:num w:numId="27">
    <w:abstractNumId w:val="3"/>
  </w:num>
  <w:num w:numId="28">
    <w:abstractNumId w:val="25"/>
  </w:num>
  <w:num w:numId="29">
    <w:abstractNumId w:val="5"/>
  </w:num>
  <w:num w:numId="30">
    <w:abstractNumId w:val="11"/>
  </w:num>
  <w:num w:numId="31">
    <w:abstractNumId w:val="31"/>
  </w:num>
  <w:num w:numId="32">
    <w:abstractNumId w:val="26"/>
  </w:num>
  <w:num w:numId="33">
    <w:abstractNumId w:val="8"/>
  </w:num>
  <w:num w:numId="34">
    <w:abstractNumId w:val="21"/>
  </w:num>
  <w:num w:numId="35">
    <w:abstractNumId w:val="4"/>
  </w:num>
  <w:num w:numId="36">
    <w:abstractNumId w:val="70"/>
  </w:num>
  <w:num w:numId="37">
    <w:abstractNumId w:val="47"/>
  </w:num>
  <w:num w:numId="38">
    <w:abstractNumId w:val="23"/>
  </w:num>
  <w:num w:numId="39">
    <w:abstractNumId w:val="52"/>
  </w:num>
  <w:num w:numId="40">
    <w:abstractNumId w:val="65"/>
  </w:num>
  <w:num w:numId="41">
    <w:abstractNumId w:val="36"/>
  </w:num>
  <w:num w:numId="42">
    <w:abstractNumId w:val="59"/>
  </w:num>
  <w:num w:numId="43">
    <w:abstractNumId w:val="22"/>
  </w:num>
  <w:num w:numId="44">
    <w:abstractNumId w:val="20"/>
  </w:num>
  <w:num w:numId="45">
    <w:abstractNumId w:val="24"/>
  </w:num>
  <w:num w:numId="46">
    <w:abstractNumId w:val="7"/>
  </w:num>
  <w:num w:numId="47">
    <w:abstractNumId w:val="15"/>
  </w:num>
  <w:num w:numId="48">
    <w:abstractNumId w:val="43"/>
  </w:num>
  <w:num w:numId="49">
    <w:abstractNumId w:val="62"/>
  </w:num>
  <w:num w:numId="50">
    <w:abstractNumId w:val="50"/>
  </w:num>
  <w:num w:numId="51">
    <w:abstractNumId w:val="68"/>
  </w:num>
  <w:num w:numId="52">
    <w:abstractNumId w:val="45"/>
  </w:num>
  <w:num w:numId="53">
    <w:abstractNumId w:val="56"/>
  </w:num>
  <w:num w:numId="54">
    <w:abstractNumId w:val="67"/>
  </w:num>
  <w:num w:numId="55">
    <w:abstractNumId w:val="29"/>
  </w:num>
  <w:num w:numId="56">
    <w:abstractNumId w:val="69"/>
  </w:num>
  <w:num w:numId="57">
    <w:abstractNumId w:val="54"/>
  </w:num>
  <w:num w:numId="58">
    <w:abstractNumId w:val="18"/>
  </w:num>
  <w:num w:numId="59">
    <w:abstractNumId w:val="38"/>
  </w:num>
  <w:num w:numId="60">
    <w:abstractNumId w:val="60"/>
  </w:num>
  <w:num w:numId="61">
    <w:abstractNumId w:val="58"/>
  </w:num>
  <w:num w:numId="62">
    <w:abstractNumId w:val="44"/>
  </w:num>
  <w:num w:numId="63">
    <w:abstractNumId w:val="9"/>
  </w:num>
  <w:num w:numId="64">
    <w:abstractNumId w:val="51"/>
  </w:num>
  <w:num w:numId="65">
    <w:abstractNumId w:val="41"/>
  </w:num>
  <w:num w:numId="66">
    <w:abstractNumId w:val="16"/>
  </w:num>
  <w:num w:numId="67">
    <w:abstractNumId w:val="30"/>
  </w:num>
  <w:num w:numId="68">
    <w:abstractNumId w:val="27"/>
  </w:num>
  <w:num w:numId="69">
    <w:abstractNumId w:val="63"/>
  </w:num>
  <w:num w:numId="70">
    <w:abstractNumId w:val="14"/>
  </w:num>
  <w:num w:numId="71">
    <w:abstractNumId w:val="4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94E3D"/>
    <w:rsid w:val="00024C1A"/>
    <w:rsid w:val="00086FC0"/>
    <w:rsid w:val="0009298C"/>
    <w:rsid w:val="000A0F59"/>
    <w:rsid w:val="000C47AA"/>
    <w:rsid w:val="00101B9B"/>
    <w:rsid w:val="00107A92"/>
    <w:rsid w:val="0015272F"/>
    <w:rsid w:val="0018757A"/>
    <w:rsid w:val="001A720E"/>
    <w:rsid w:val="001F1258"/>
    <w:rsid w:val="002328C1"/>
    <w:rsid w:val="0028687E"/>
    <w:rsid w:val="002A7E61"/>
    <w:rsid w:val="002D0970"/>
    <w:rsid w:val="002D49B1"/>
    <w:rsid w:val="002E705E"/>
    <w:rsid w:val="00312FFF"/>
    <w:rsid w:val="00331C38"/>
    <w:rsid w:val="00332292"/>
    <w:rsid w:val="00335E93"/>
    <w:rsid w:val="00370FCA"/>
    <w:rsid w:val="003C08BB"/>
    <w:rsid w:val="003F7998"/>
    <w:rsid w:val="00407C4D"/>
    <w:rsid w:val="004211A8"/>
    <w:rsid w:val="004367AB"/>
    <w:rsid w:val="00440AA2"/>
    <w:rsid w:val="00462301"/>
    <w:rsid w:val="00494E3D"/>
    <w:rsid w:val="004B76B5"/>
    <w:rsid w:val="004C4427"/>
    <w:rsid w:val="004C58A5"/>
    <w:rsid w:val="005B4912"/>
    <w:rsid w:val="005C56D5"/>
    <w:rsid w:val="00661ECE"/>
    <w:rsid w:val="006E4817"/>
    <w:rsid w:val="0071498B"/>
    <w:rsid w:val="0075437E"/>
    <w:rsid w:val="00786F3F"/>
    <w:rsid w:val="007D0D19"/>
    <w:rsid w:val="007F6418"/>
    <w:rsid w:val="008017EA"/>
    <w:rsid w:val="008226C6"/>
    <w:rsid w:val="008467ED"/>
    <w:rsid w:val="008E0FC6"/>
    <w:rsid w:val="008E799D"/>
    <w:rsid w:val="00921F5F"/>
    <w:rsid w:val="0097495E"/>
    <w:rsid w:val="009F2351"/>
    <w:rsid w:val="009F739C"/>
    <w:rsid w:val="00A022EC"/>
    <w:rsid w:val="00A2716C"/>
    <w:rsid w:val="00A77F27"/>
    <w:rsid w:val="00A92000"/>
    <w:rsid w:val="00AA2A54"/>
    <w:rsid w:val="00AC639D"/>
    <w:rsid w:val="00AD5A14"/>
    <w:rsid w:val="00AF6A37"/>
    <w:rsid w:val="00B24E43"/>
    <w:rsid w:val="00B36D55"/>
    <w:rsid w:val="00B6358A"/>
    <w:rsid w:val="00B73A38"/>
    <w:rsid w:val="00B92DFC"/>
    <w:rsid w:val="00BD350A"/>
    <w:rsid w:val="00BD647E"/>
    <w:rsid w:val="00C15586"/>
    <w:rsid w:val="00C32569"/>
    <w:rsid w:val="00C66DF3"/>
    <w:rsid w:val="00C8045C"/>
    <w:rsid w:val="00D628BA"/>
    <w:rsid w:val="00DB671A"/>
    <w:rsid w:val="00E74FA8"/>
    <w:rsid w:val="00E95E93"/>
    <w:rsid w:val="00F37C27"/>
    <w:rsid w:val="00FA2103"/>
    <w:rsid w:val="00FD03F5"/>
    <w:rsid w:val="00FD39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5123148A-721B-4B8F-A8B7-DAD2819D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autoSpaceDE w:val="0"/>
      <w:autoSpaceDN w:val="0"/>
      <w:adjustRightInd w:val="0"/>
      <w:outlineLvl w:val="0"/>
    </w:pPr>
    <w:rPr>
      <w:rFonts w:ascii="Courier New" w:hAnsi="Courier New" w:cs="Courier New"/>
      <w:b/>
      <w:bCs/>
      <w:sz w:val="20"/>
      <w:szCs w:val="20"/>
      <w:u w:val="single"/>
    </w:rPr>
  </w:style>
  <w:style w:type="paragraph" w:styleId="Heading2">
    <w:name w:val="heading 2"/>
    <w:basedOn w:val="Normal"/>
    <w:next w:val="Normal"/>
    <w:qFormat/>
    <w:pPr>
      <w:keepNext/>
      <w:ind w:left="720"/>
      <w:outlineLvl w:val="1"/>
    </w:pPr>
    <w:rPr>
      <w:b/>
      <w:bCs/>
      <w:u w:val="single"/>
    </w:rPr>
  </w:style>
  <w:style w:type="paragraph" w:styleId="Heading3">
    <w:name w:val="heading 3"/>
    <w:basedOn w:val="Normal"/>
    <w:next w:val="Normal"/>
    <w:qFormat/>
    <w:pPr>
      <w:keepNext/>
      <w:ind w:left="360"/>
      <w:outlineLvl w:val="2"/>
    </w:pPr>
    <w:rPr>
      <w:u w:val="single"/>
    </w:rPr>
  </w:style>
  <w:style w:type="paragraph" w:styleId="Heading4">
    <w:name w:val="heading 4"/>
    <w:basedOn w:val="Normal"/>
    <w:next w:val="Normal"/>
    <w:qFormat/>
    <w:pPr>
      <w:keepNext/>
      <w:jc w:val="center"/>
      <w:outlineLvl w:val="3"/>
    </w:pPr>
    <w:rPr>
      <w:b/>
      <w:bCs/>
      <w:u w:val="single"/>
    </w:rPr>
  </w:style>
  <w:style w:type="paragraph" w:styleId="Heading5">
    <w:name w:val="heading 5"/>
    <w:basedOn w:val="Normal"/>
    <w:next w:val="Normal"/>
    <w:qFormat/>
    <w:pPr>
      <w:keepNext/>
      <w:ind w:left="360"/>
      <w:outlineLvl w:val="4"/>
    </w:pPr>
    <w:rPr>
      <w:i/>
      <w:iCs/>
    </w:rPr>
  </w:style>
  <w:style w:type="paragraph" w:styleId="Heading6">
    <w:name w:val="heading 6"/>
    <w:basedOn w:val="Normal"/>
    <w:next w:val="Normal"/>
    <w:qFormat/>
    <w:pPr>
      <w:keepNext/>
      <w:outlineLvl w:val="5"/>
    </w:pPr>
    <w:rPr>
      <w:b/>
      <w:bCs/>
      <w:u w:val="single"/>
    </w:rPr>
  </w:style>
  <w:style w:type="paragraph" w:styleId="Heading7">
    <w:name w:val="heading 7"/>
    <w:basedOn w:val="Normal"/>
    <w:next w:val="Normal"/>
    <w:qFormat/>
    <w:pPr>
      <w:keepNext/>
      <w:ind w:left="720"/>
      <w:outlineLvl w:val="6"/>
    </w:pPr>
    <w:rPr>
      <w:i/>
      <w:iCs/>
    </w:rPr>
  </w:style>
  <w:style w:type="paragraph" w:styleId="Heading8">
    <w:name w:val="heading 8"/>
    <w:basedOn w:val="Normal"/>
    <w:next w:val="Normal"/>
    <w:qFormat/>
    <w:pPr>
      <w:keepNext/>
      <w:outlineLvl w:val="7"/>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autoSpaceDE w:val="0"/>
      <w:autoSpaceDN w:val="0"/>
      <w:adjustRightInd w:val="0"/>
      <w:ind w:firstLine="360"/>
    </w:pPr>
    <w:rPr>
      <w:rFonts w:ascii="Courier New" w:hAnsi="Courier New" w:cs="Courier New"/>
      <w:sz w:val="20"/>
      <w:szCs w:val="20"/>
    </w:rPr>
  </w:style>
  <w:style w:type="paragraph" w:styleId="BodyText">
    <w:name w:val="Body Text"/>
    <w:basedOn w:val="Normal"/>
    <w:pPr>
      <w:autoSpaceDE w:val="0"/>
      <w:autoSpaceDN w:val="0"/>
      <w:adjustRightInd w:val="0"/>
    </w:pPr>
    <w:rPr>
      <w:sz w:val="22"/>
      <w:szCs w:val="20"/>
    </w:rPr>
  </w:style>
  <w:style w:type="paragraph" w:styleId="BodyTextIndent2">
    <w:name w:val="Body Text Indent 2"/>
    <w:basedOn w:val="Normal"/>
    <w:pPr>
      <w:ind w:left="360"/>
    </w:pPr>
  </w:style>
  <w:style w:type="paragraph" w:styleId="BodyTextIndent3">
    <w:name w:val="Body Text Indent 3"/>
    <w:basedOn w:val="Normal"/>
    <w:pPr>
      <w:ind w:left="1080"/>
    </w:pPr>
  </w:style>
  <w:style w:type="paragraph" w:styleId="Title">
    <w:name w:val="Title"/>
    <w:basedOn w:val="Normal"/>
    <w:qFormat/>
    <w:pPr>
      <w:jc w:val="center"/>
    </w:pPr>
    <w:rPr>
      <w:b/>
      <w:bCs/>
      <w:u w:val="single"/>
    </w:rPr>
  </w:style>
  <w:style w:type="paragraph" w:styleId="NormalWeb">
    <w:name w:val="Normal (Web)"/>
    <w:basedOn w:val="Normal"/>
    <w:pPr>
      <w:spacing w:before="100" w:beforeAutospacing="1" w:after="100" w:afterAutospacing="1" w:line="225" w:lineRule="atLeast"/>
    </w:pPr>
    <w:rPr>
      <w:rFonts w:ascii="Verdana" w:eastAsia="Arial Unicode MS" w:hAnsi="Verdana" w:cs="Arial Unicode MS"/>
      <w:color w:val="000000"/>
      <w:sz w:val="17"/>
      <w:szCs w:val="17"/>
    </w:rPr>
  </w:style>
  <w:style w:type="character" w:styleId="Emphasis">
    <w:name w:val="Emphasis"/>
    <w:uiPriority w:val="20"/>
    <w:qFormat/>
    <w:rPr>
      <w:i/>
      <w:iCs/>
    </w:rPr>
  </w:style>
  <w:style w:type="paragraph" w:styleId="BodyText2">
    <w:name w:val="Body Text 2"/>
    <w:basedOn w:val="Normal"/>
    <w:rPr>
      <w:b/>
      <w:bCs/>
      <w:i/>
      <w:iCs/>
    </w:rPr>
  </w:style>
  <w:style w:type="character" w:styleId="Strong">
    <w:name w:val="Strong"/>
    <w:uiPriority w:val="22"/>
    <w:qFormat/>
    <w:rPr>
      <w:b/>
      <w:bCs/>
    </w:rPr>
  </w:style>
  <w:style w:type="paragraph" w:styleId="BodyText3">
    <w:name w:val="Body Text 3"/>
    <w:basedOn w:val="Normal"/>
    <w:rPr>
      <w:i/>
      <w:iCs/>
    </w:rPr>
  </w:style>
  <w:style w:type="character" w:customStyle="1" w:styleId="emailstyle19">
    <w:name w:val="emailstyle19"/>
    <w:semiHidden/>
    <w:rPr>
      <w:rFonts w:ascii="Arial" w:hAnsi="Arial" w:cs="Arial" w:hint="default"/>
      <w:color w:val="000080"/>
      <w:sz w:val="20"/>
      <w:szCs w:val="20"/>
    </w:rPr>
  </w:style>
  <w:style w:type="character" w:customStyle="1" w:styleId="MarkSchine">
    <w:name w:val="EmailStyle28"/>
    <w:aliases w:val="EmailStyle28"/>
    <w:semiHidden/>
    <w:personal/>
    <w:rPr>
      <w:rFonts w:ascii="Arial" w:hAnsi="Arial" w:cs="Arial"/>
      <w:color w:val="auto"/>
      <w:sz w:val="20"/>
      <w:szCs w:val="20"/>
    </w:rPr>
  </w:style>
  <w:style w:type="paragraph" w:styleId="ListParagraph">
    <w:name w:val="List Paragraph"/>
    <w:basedOn w:val="Normal"/>
    <w:uiPriority w:val="34"/>
    <w:qFormat/>
    <w:rsid w:val="00786F3F"/>
    <w:pPr>
      <w:ind w:left="720"/>
    </w:pPr>
  </w:style>
  <w:style w:type="character" w:customStyle="1" w:styleId="emailstyle17">
    <w:name w:val="emailstyle17"/>
    <w:semiHidden/>
    <w:rsid w:val="004C58A5"/>
    <w:rPr>
      <w:rFonts w:ascii="Calibri" w:hAnsi="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7777">
      <w:bodyDiv w:val="1"/>
      <w:marLeft w:val="0"/>
      <w:marRight w:val="0"/>
      <w:marTop w:val="0"/>
      <w:marBottom w:val="0"/>
      <w:divBdr>
        <w:top w:val="none" w:sz="0" w:space="0" w:color="auto"/>
        <w:left w:val="none" w:sz="0" w:space="0" w:color="auto"/>
        <w:bottom w:val="none" w:sz="0" w:space="0" w:color="auto"/>
        <w:right w:val="none" w:sz="0" w:space="0" w:color="auto"/>
      </w:divBdr>
    </w:div>
    <w:div w:id="301934507">
      <w:bodyDiv w:val="1"/>
      <w:marLeft w:val="0"/>
      <w:marRight w:val="0"/>
      <w:marTop w:val="0"/>
      <w:marBottom w:val="0"/>
      <w:divBdr>
        <w:top w:val="none" w:sz="0" w:space="0" w:color="auto"/>
        <w:left w:val="none" w:sz="0" w:space="0" w:color="auto"/>
        <w:bottom w:val="none" w:sz="0" w:space="0" w:color="auto"/>
        <w:right w:val="none" w:sz="0" w:space="0" w:color="auto"/>
      </w:divBdr>
    </w:div>
    <w:div w:id="399718556">
      <w:bodyDiv w:val="1"/>
      <w:marLeft w:val="0"/>
      <w:marRight w:val="0"/>
      <w:marTop w:val="0"/>
      <w:marBottom w:val="0"/>
      <w:divBdr>
        <w:top w:val="none" w:sz="0" w:space="0" w:color="auto"/>
        <w:left w:val="none" w:sz="0" w:space="0" w:color="auto"/>
        <w:bottom w:val="none" w:sz="0" w:space="0" w:color="auto"/>
        <w:right w:val="none" w:sz="0" w:space="0" w:color="auto"/>
      </w:divBdr>
    </w:div>
    <w:div w:id="982005318">
      <w:bodyDiv w:val="1"/>
      <w:marLeft w:val="0"/>
      <w:marRight w:val="0"/>
      <w:marTop w:val="0"/>
      <w:marBottom w:val="0"/>
      <w:divBdr>
        <w:top w:val="none" w:sz="0" w:space="0" w:color="auto"/>
        <w:left w:val="none" w:sz="0" w:space="0" w:color="auto"/>
        <w:bottom w:val="none" w:sz="0" w:space="0" w:color="auto"/>
        <w:right w:val="none" w:sz="0" w:space="0" w:color="auto"/>
      </w:divBdr>
    </w:div>
    <w:div w:id="1035158335">
      <w:bodyDiv w:val="1"/>
      <w:marLeft w:val="0"/>
      <w:marRight w:val="0"/>
      <w:marTop w:val="0"/>
      <w:marBottom w:val="0"/>
      <w:divBdr>
        <w:top w:val="none" w:sz="0" w:space="0" w:color="auto"/>
        <w:left w:val="none" w:sz="0" w:space="0" w:color="auto"/>
        <w:bottom w:val="none" w:sz="0" w:space="0" w:color="auto"/>
        <w:right w:val="none" w:sz="0" w:space="0" w:color="auto"/>
      </w:divBdr>
    </w:div>
    <w:div w:id="1077677330">
      <w:bodyDiv w:val="1"/>
      <w:marLeft w:val="0"/>
      <w:marRight w:val="0"/>
      <w:marTop w:val="0"/>
      <w:marBottom w:val="0"/>
      <w:divBdr>
        <w:top w:val="none" w:sz="0" w:space="0" w:color="auto"/>
        <w:left w:val="none" w:sz="0" w:space="0" w:color="auto"/>
        <w:bottom w:val="none" w:sz="0" w:space="0" w:color="auto"/>
        <w:right w:val="none" w:sz="0" w:space="0" w:color="auto"/>
      </w:divBdr>
    </w:div>
    <w:div w:id="1182429695">
      <w:bodyDiv w:val="1"/>
      <w:marLeft w:val="0"/>
      <w:marRight w:val="0"/>
      <w:marTop w:val="0"/>
      <w:marBottom w:val="0"/>
      <w:divBdr>
        <w:top w:val="none" w:sz="0" w:space="0" w:color="auto"/>
        <w:left w:val="none" w:sz="0" w:space="0" w:color="auto"/>
        <w:bottom w:val="none" w:sz="0" w:space="0" w:color="auto"/>
        <w:right w:val="none" w:sz="0" w:space="0" w:color="auto"/>
      </w:divBdr>
    </w:div>
    <w:div w:id="1233469594">
      <w:bodyDiv w:val="1"/>
      <w:marLeft w:val="0"/>
      <w:marRight w:val="0"/>
      <w:marTop w:val="0"/>
      <w:marBottom w:val="0"/>
      <w:divBdr>
        <w:top w:val="none" w:sz="0" w:space="0" w:color="auto"/>
        <w:left w:val="none" w:sz="0" w:space="0" w:color="auto"/>
        <w:bottom w:val="none" w:sz="0" w:space="0" w:color="auto"/>
        <w:right w:val="none" w:sz="0" w:space="0" w:color="auto"/>
      </w:divBdr>
    </w:div>
    <w:div w:id="1272324020">
      <w:bodyDiv w:val="1"/>
      <w:marLeft w:val="0"/>
      <w:marRight w:val="0"/>
      <w:marTop w:val="0"/>
      <w:marBottom w:val="0"/>
      <w:divBdr>
        <w:top w:val="none" w:sz="0" w:space="0" w:color="auto"/>
        <w:left w:val="none" w:sz="0" w:space="0" w:color="auto"/>
        <w:bottom w:val="none" w:sz="0" w:space="0" w:color="auto"/>
        <w:right w:val="none" w:sz="0" w:space="0" w:color="auto"/>
      </w:divBdr>
    </w:div>
    <w:div w:id="1359894459">
      <w:bodyDiv w:val="1"/>
      <w:marLeft w:val="0"/>
      <w:marRight w:val="0"/>
      <w:marTop w:val="0"/>
      <w:marBottom w:val="0"/>
      <w:divBdr>
        <w:top w:val="none" w:sz="0" w:space="0" w:color="auto"/>
        <w:left w:val="none" w:sz="0" w:space="0" w:color="auto"/>
        <w:bottom w:val="none" w:sz="0" w:space="0" w:color="auto"/>
        <w:right w:val="none" w:sz="0" w:space="0" w:color="auto"/>
      </w:divBdr>
    </w:div>
    <w:div w:id="1485973808">
      <w:bodyDiv w:val="1"/>
      <w:marLeft w:val="0"/>
      <w:marRight w:val="0"/>
      <w:marTop w:val="0"/>
      <w:marBottom w:val="0"/>
      <w:divBdr>
        <w:top w:val="none" w:sz="0" w:space="0" w:color="auto"/>
        <w:left w:val="none" w:sz="0" w:space="0" w:color="auto"/>
        <w:bottom w:val="none" w:sz="0" w:space="0" w:color="auto"/>
        <w:right w:val="none" w:sz="0" w:space="0" w:color="auto"/>
      </w:divBdr>
    </w:div>
    <w:div w:id="1838837215">
      <w:bodyDiv w:val="1"/>
      <w:marLeft w:val="0"/>
      <w:marRight w:val="0"/>
      <w:marTop w:val="0"/>
      <w:marBottom w:val="0"/>
      <w:divBdr>
        <w:top w:val="none" w:sz="0" w:space="0" w:color="auto"/>
        <w:left w:val="none" w:sz="0" w:space="0" w:color="auto"/>
        <w:bottom w:val="none" w:sz="0" w:space="0" w:color="auto"/>
        <w:right w:val="none" w:sz="0" w:space="0" w:color="auto"/>
      </w:divBdr>
      <w:divsChild>
        <w:div w:id="20517976">
          <w:marLeft w:val="0"/>
          <w:marRight w:val="0"/>
          <w:marTop w:val="0"/>
          <w:marBottom w:val="0"/>
          <w:divBdr>
            <w:top w:val="none" w:sz="0" w:space="0" w:color="auto"/>
            <w:left w:val="none" w:sz="0" w:space="0" w:color="auto"/>
            <w:bottom w:val="none" w:sz="0" w:space="0" w:color="auto"/>
            <w:right w:val="none" w:sz="0" w:space="0" w:color="auto"/>
          </w:divBdr>
        </w:div>
        <w:div w:id="66272105">
          <w:marLeft w:val="0"/>
          <w:marRight w:val="0"/>
          <w:marTop w:val="0"/>
          <w:marBottom w:val="0"/>
          <w:divBdr>
            <w:top w:val="none" w:sz="0" w:space="0" w:color="auto"/>
            <w:left w:val="none" w:sz="0" w:space="0" w:color="auto"/>
            <w:bottom w:val="none" w:sz="0" w:space="0" w:color="auto"/>
            <w:right w:val="none" w:sz="0" w:space="0" w:color="auto"/>
          </w:divBdr>
        </w:div>
        <w:div w:id="82924256">
          <w:marLeft w:val="0"/>
          <w:marRight w:val="0"/>
          <w:marTop w:val="0"/>
          <w:marBottom w:val="0"/>
          <w:divBdr>
            <w:top w:val="none" w:sz="0" w:space="0" w:color="auto"/>
            <w:left w:val="none" w:sz="0" w:space="0" w:color="auto"/>
            <w:bottom w:val="none" w:sz="0" w:space="0" w:color="auto"/>
            <w:right w:val="none" w:sz="0" w:space="0" w:color="auto"/>
          </w:divBdr>
        </w:div>
        <w:div w:id="159657050">
          <w:marLeft w:val="0"/>
          <w:marRight w:val="0"/>
          <w:marTop w:val="0"/>
          <w:marBottom w:val="0"/>
          <w:divBdr>
            <w:top w:val="none" w:sz="0" w:space="0" w:color="auto"/>
            <w:left w:val="none" w:sz="0" w:space="0" w:color="auto"/>
            <w:bottom w:val="none" w:sz="0" w:space="0" w:color="auto"/>
            <w:right w:val="none" w:sz="0" w:space="0" w:color="auto"/>
          </w:divBdr>
        </w:div>
        <w:div w:id="222453956">
          <w:marLeft w:val="0"/>
          <w:marRight w:val="0"/>
          <w:marTop w:val="0"/>
          <w:marBottom w:val="0"/>
          <w:divBdr>
            <w:top w:val="none" w:sz="0" w:space="0" w:color="auto"/>
            <w:left w:val="none" w:sz="0" w:space="0" w:color="auto"/>
            <w:bottom w:val="none" w:sz="0" w:space="0" w:color="auto"/>
            <w:right w:val="none" w:sz="0" w:space="0" w:color="auto"/>
          </w:divBdr>
        </w:div>
        <w:div w:id="661666752">
          <w:marLeft w:val="0"/>
          <w:marRight w:val="0"/>
          <w:marTop w:val="0"/>
          <w:marBottom w:val="0"/>
          <w:divBdr>
            <w:top w:val="none" w:sz="0" w:space="0" w:color="auto"/>
            <w:left w:val="none" w:sz="0" w:space="0" w:color="auto"/>
            <w:bottom w:val="none" w:sz="0" w:space="0" w:color="auto"/>
            <w:right w:val="none" w:sz="0" w:space="0" w:color="auto"/>
          </w:divBdr>
        </w:div>
        <w:div w:id="1016463720">
          <w:marLeft w:val="0"/>
          <w:marRight w:val="0"/>
          <w:marTop w:val="0"/>
          <w:marBottom w:val="0"/>
          <w:divBdr>
            <w:top w:val="none" w:sz="0" w:space="0" w:color="auto"/>
            <w:left w:val="none" w:sz="0" w:space="0" w:color="auto"/>
            <w:bottom w:val="none" w:sz="0" w:space="0" w:color="auto"/>
            <w:right w:val="none" w:sz="0" w:space="0" w:color="auto"/>
          </w:divBdr>
        </w:div>
        <w:div w:id="1142120356">
          <w:marLeft w:val="0"/>
          <w:marRight w:val="0"/>
          <w:marTop w:val="0"/>
          <w:marBottom w:val="0"/>
          <w:divBdr>
            <w:top w:val="none" w:sz="0" w:space="0" w:color="auto"/>
            <w:left w:val="none" w:sz="0" w:space="0" w:color="auto"/>
            <w:bottom w:val="none" w:sz="0" w:space="0" w:color="auto"/>
            <w:right w:val="none" w:sz="0" w:space="0" w:color="auto"/>
          </w:divBdr>
        </w:div>
        <w:div w:id="1340473680">
          <w:marLeft w:val="0"/>
          <w:marRight w:val="0"/>
          <w:marTop w:val="0"/>
          <w:marBottom w:val="0"/>
          <w:divBdr>
            <w:top w:val="none" w:sz="0" w:space="0" w:color="auto"/>
            <w:left w:val="none" w:sz="0" w:space="0" w:color="auto"/>
            <w:bottom w:val="none" w:sz="0" w:space="0" w:color="auto"/>
            <w:right w:val="none" w:sz="0" w:space="0" w:color="auto"/>
          </w:divBdr>
        </w:div>
        <w:div w:id="1470660475">
          <w:marLeft w:val="0"/>
          <w:marRight w:val="0"/>
          <w:marTop w:val="0"/>
          <w:marBottom w:val="0"/>
          <w:divBdr>
            <w:top w:val="none" w:sz="0" w:space="0" w:color="auto"/>
            <w:left w:val="none" w:sz="0" w:space="0" w:color="auto"/>
            <w:bottom w:val="none" w:sz="0" w:space="0" w:color="auto"/>
            <w:right w:val="none" w:sz="0" w:space="0" w:color="auto"/>
          </w:divBdr>
        </w:div>
        <w:div w:id="1739747379">
          <w:marLeft w:val="0"/>
          <w:marRight w:val="0"/>
          <w:marTop w:val="0"/>
          <w:marBottom w:val="0"/>
          <w:divBdr>
            <w:top w:val="none" w:sz="0" w:space="0" w:color="auto"/>
            <w:left w:val="none" w:sz="0" w:space="0" w:color="auto"/>
            <w:bottom w:val="none" w:sz="0" w:space="0" w:color="auto"/>
            <w:right w:val="none" w:sz="0" w:space="0" w:color="auto"/>
          </w:divBdr>
        </w:div>
        <w:div w:id="2031947310">
          <w:marLeft w:val="0"/>
          <w:marRight w:val="0"/>
          <w:marTop w:val="0"/>
          <w:marBottom w:val="0"/>
          <w:divBdr>
            <w:top w:val="none" w:sz="0" w:space="0" w:color="auto"/>
            <w:left w:val="none" w:sz="0" w:space="0" w:color="auto"/>
            <w:bottom w:val="none" w:sz="0" w:space="0" w:color="auto"/>
            <w:right w:val="none" w:sz="0" w:space="0" w:color="auto"/>
          </w:divBdr>
        </w:div>
        <w:div w:id="2066710394">
          <w:marLeft w:val="0"/>
          <w:marRight w:val="0"/>
          <w:marTop w:val="0"/>
          <w:marBottom w:val="0"/>
          <w:divBdr>
            <w:top w:val="none" w:sz="0" w:space="0" w:color="auto"/>
            <w:left w:val="none" w:sz="0" w:space="0" w:color="auto"/>
            <w:bottom w:val="none" w:sz="0" w:space="0" w:color="auto"/>
            <w:right w:val="none" w:sz="0" w:space="0" w:color="auto"/>
          </w:divBdr>
        </w:div>
        <w:div w:id="2078939655">
          <w:marLeft w:val="0"/>
          <w:marRight w:val="0"/>
          <w:marTop w:val="0"/>
          <w:marBottom w:val="0"/>
          <w:divBdr>
            <w:top w:val="none" w:sz="0" w:space="0" w:color="auto"/>
            <w:left w:val="none" w:sz="0" w:space="0" w:color="auto"/>
            <w:bottom w:val="none" w:sz="0" w:space="0" w:color="auto"/>
            <w:right w:val="none" w:sz="0" w:space="0" w:color="auto"/>
          </w:divBdr>
        </w:div>
        <w:div w:id="2133594418">
          <w:marLeft w:val="0"/>
          <w:marRight w:val="0"/>
          <w:marTop w:val="0"/>
          <w:marBottom w:val="0"/>
          <w:divBdr>
            <w:top w:val="none" w:sz="0" w:space="0" w:color="auto"/>
            <w:left w:val="none" w:sz="0" w:space="0" w:color="auto"/>
            <w:bottom w:val="none" w:sz="0" w:space="0" w:color="auto"/>
            <w:right w:val="none" w:sz="0" w:space="0" w:color="auto"/>
          </w:divBdr>
        </w:div>
      </w:divsChild>
    </w:div>
    <w:div w:id="197567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hyperlink" Target="http://www.saturnsoftwareinc.com/ColorSummary.xls" TargetMode="External"/><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hyperlink" Target="http://www.saturnsoftwareinc.com/CometSupportFiles/CometChangeLog2007.doc" TargetMode="External"/><Relationship Id="rId61"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hyperlink" Target="http://www.saturnsoftwareinc.com/all_mailmerge_fields_a4_or_letter.doc" TargetMode="Externa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www.saturnsoftwareinc.com/CometSupportFiles/CometChangeLog2005.doc"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3356</Words>
  <Characters>19132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System Wide Dependent Date Entry Management</vt:lpstr>
    </vt:vector>
  </TitlesOfParts>
  <Company>Dell Computer Corporation</Company>
  <LinksUpToDate>false</LinksUpToDate>
  <CharactersWithSpaces>22444</CharactersWithSpaces>
  <SharedDoc>false</SharedDoc>
  <HLinks>
    <vt:vector size="24" baseType="variant">
      <vt:variant>
        <vt:i4>720897</vt:i4>
      </vt:variant>
      <vt:variant>
        <vt:i4>9</vt:i4>
      </vt:variant>
      <vt:variant>
        <vt:i4>0</vt:i4>
      </vt:variant>
      <vt:variant>
        <vt:i4>5</vt:i4>
      </vt:variant>
      <vt:variant>
        <vt:lpwstr>http://www.saturnsoftwareinc.com/CometSupportFiles/CometChangeLog2005.doc</vt:lpwstr>
      </vt:variant>
      <vt:variant>
        <vt:lpwstr/>
      </vt:variant>
      <vt:variant>
        <vt:i4>2031691</vt:i4>
      </vt:variant>
      <vt:variant>
        <vt:i4>6</vt:i4>
      </vt:variant>
      <vt:variant>
        <vt:i4>0</vt:i4>
      </vt:variant>
      <vt:variant>
        <vt:i4>5</vt:i4>
      </vt:variant>
      <vt:variant>
        <vt:lpwstr>http://www.saturnsoftwareinc.com/ColorSummary.xls</vt:lpwstr>
      </vt:variant>
      <vt:variant>
        <vt:lpwstr/>
      </vt:variant>
      <vt:variant>
        <vt:i4>6357072</vt:i4>
      </vt:variant>
      <vt:variant>
        <vt:i4>3</vt:i4>
      </vt:variant>
      <vt:variant>
        <vt:i4>0</vt:i4>
      </vt:variant>
      <vt:variant>
        <vt:i4>5</vt:i4>
      </vt:variant>
      <vt:variant>
        <vt:lpwstr>http://www.saturnsoftwareinc.com/all_mailmerge_fields_a4_or_letter.doc</vt:lpwstr>
      </vt:variant>
      <vt:variant>
        <vt:lpwstr/>
      </vt:variant>
      <vt:variant>
        <vt:i4>720899</vt:i4>
      </vt:variant>
      <vt:variant>
        <vt:i4>0</vt:i4>
      </vt:variant>
      <vt:variant>
        <vt:i4>0</vt:i4>
      </vt:variant>
      <vt:variant>
        <vt:i4>5</vt:i4>
      </vt:variant>
      <vt:variant>
        <vt:lpwstr>http://www.saturnsoftwareinc.com/CometSupportFiles/CometChangeLog2007.doc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Wide Dependent Date Entry Management</dc:title>
  <dc:subject/>
  <dc:creator>Saturn</dc:creator>
  <cp:keywords/>
  <dc:description/>
  <cp:lastModifiedBy>Mark Schine</cp:lastModifiedBy>
  <cp:revision>2</cp:revision>
  <cp:lastPrinted>2006-03-01T10:58:00Z</cp:lastPrinted>
  <dcterms:created xsi:type="dcterms:W3CDTF">2021-07-23T20:38:00Z</dcterms:created>
  <dcterms:modified xsi:type="dcterms:W3CDTF">2021-07-23T20:38:00Z</dcterms:modified>
</cp:coreProperties>
</file>